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DD77" w14:textId="77777777" w:rsidR="003A6C1D" w:rsidRPr="00F44199" w:rsidRDefault="003A6C1D" w:rsidP="003A6C1D">
      <w:pPr>
        <w:jc w:val="center"/>
        <w:rPr>
          <w:rFonts w:ascii="Arial" w:hAnsi="Arial" w:cs="Arial"/>
          <w:b/>
          <w:bCs/>
        </w:rPr>
      </w:pPr>
      <w:r w:rsidRPr="00F44199">
        <w:rPr>
          <w:rFonts w:ascii="Arial" w:hAnsi="Arial" w:cs="Arial"/>
          <w:b/>
          <w:bCs/>
        </w:rPr>
        <w:t xml:space="preserve">Financial Stability Considerations in connection with the Invesco / SOFR Academy USD Across-the-Curve Credit Spread Indexes (AXI) and Invesco / SOFR Academy USD Financial Conditions Credit Spread </w:t>
      </w:r>
      <w:r w:rsidR="009A37B5" w:rsidRPr="00F44199">
        <w:rPr>
          <w:rFonts w:ascii="Arial" w:hAnsi="Arial" w:cs="Arial"/>
          <w:b/>
          <w:bCs/>
        </w:rPr>
        <w:t xml:space="preserve">Indexes </w:t>
      </w:r>
      <w:r w:rsidRPr="00F44199">
        <w:rPr>
          <w:rFonts w:ascii="Arial" w:hAnsi="Arial" w:cs="Arial"/>
          <w:b/>
          <w:bCs/>
        </w:rPr>
        <w:t>(FXI).</w:t>
      </w:r>
    </w:p>
    <w:p w14:paraId="5291E509" w14:textId="77777777" w:rsidR="003A6C1D" w:rsidRDefault="00526819" w:rsidP="003A6C1D">
      <w:pPr>
        <w:jc w:val="center"/>
        <w:rPr>
          <w:rFonts w:ascii="Arial" w:hAnsi="Arial" w:cs="Arial"/>
        </w:rPr>
      </w:pPr>
      <w:r>
        <w:rPr>
          <w:rFonts w:ascii="Arial" w:hAnsi="Arial" w:cs="Arial"/>
        </w:rPr>
        <w:t>May</w:t>
      </w:r>
      <w:r w:rsidRPr="003A6C1D">
        <w:rPr>
          <w:rFonts w:ascii="Arial" w:hAnsi="Arial" w:cs="Arial"/>
        </w:rPr>
        <w:t xml:space="preserve"> </w:t>
      </w:r>
      <w:r w:rsidR="003A6C1D" w:rsidRPr="003A6C1D">
        <w:rPr>
          <w:rFonts w:ascii="Arial" w:hAnsi="Arial" w:cs="Arial"/>
        </w:rPr>
        <w:t>2023</w:t>
      </w:r>
    </w:p>
    <w:p w14:paraId="420C7D0F" w14:textId="77777777" w:rsidR="003A6C1D" w:rsidRDefault="00526A60" w:rsidP="00526A60">
      <w:pPr>
        <w:rPr>
          <w:rFonts w:ascii="Arial" w:hAnsi="Arial" w:cs="Arial"/>
        </w:rPr>
      </w:pPr>
      <w:r w:rsidRPr="00526A60">
        <w:rPr>
          <w:rFonts w:ascii="Arial" w:hAnsi="Arial" w:cs="Arial"/>
        </w:rPr>
        <w:t xml:space="preserve">SOFR Academy </w:t>
      </w:r>
      <w:r w:rsidR="00EE6E8C">
        <w:rPr>
          <w:rFonts w:ascii="Arial" w:hAnsi="Arial" w:cs="Arial"/>
        </w:rPr>
        <w:t xml:space="preserve">and Invesco Indexing LLC </w:t>
      </w:r>
      <w:r w:rsidRPr="00526A60">
        <w:rPr>
          <w:rFonts w:ascii="Arial" w:hAnsi="Arial" w:cs="Arial"/>
        </w:rPr>
        <w:t>support</w:t>
      </w:r>
      <w:r w:rsidR="00763EE8">
        <w:rPr>
          <w:rFonts w:ascii="Arial" w:hAnsi="Arial" w:cs="Arial"/>
        </w:rPr>
        <w:t xml:space="preserve"> the Secured Overnight Financing Rate (</w:t>
      </w:r>
      <w:r w:rsidRPr="00526A60">
        <w:rPr>
          <w:rFonts w:ascii="Arial" w:hAnsi="Arial" w:cs="Arial"/>
        </w:rPr>
        <w:t>SOFR</w:t>
      </w:r>
      <w:r w:rsidR="00763EE8">
        <w:rPr>
          <w:rFonts w:ascii="Arial" w:hAnsi="Arial" w:cs="Arial"/>
        </w:rPr>
        <w:t>)</w:t>
      </w:r>
      <w:r w:rsidRPr="00526A60">
        <w:rPr>
          <w:rFonts w:ascii="Arial" w:hAnsi="Arial" w:cs="Arial"/>
        </w:rPr>
        <w:t xml:space="preserve">. </w:t>
      </w:r>
      <w:r>
        <w:rPr>
          <w:rFonts w:ascii="Arial" w:hAnsi="Arial" w:cs="Arial"/>
        </w:rPr>
        <w:t>Over time, w</w:t>
      </w:r>
      <w:r w:rsidRPr="00526A60">
        <w:rPr>
          <w:rFonts w:ascii="Arial" w:hAnsi="Arial" w:cs="Arial"/>
        </w:rPr>
        <w:t>e also support</w:t>
      </w:r>
      <w:r>
        <w:rPr>
          <w:rFonts w:ascii="Arial" w:hAnsi="Arial" w:cs="Arial"/>
        </w:rPr>
        <w:t xml:space="preserve"> the </w:t>
      </w:r>
      <w:r w:rsidR="00CE6C14">
        <w:rPr>
          <w:rFonts w:ascii="Arial" w:hAnsi="Arial" w:cs="Arial"/>
        </w:rPr>
        <w:t>introduction</w:t>
      </w:r>
      <w:r>
        <w:rPr>
          <w:rFonts w:ascii="Arial" w:hAnsi="Arial" w:cs="Arial"/>
        </w:rPr>
        <w:t xml:space="preserve"> of </w:t>
      </w:r>
      <w:r w:rsidRPr="00526A60">
        <w:rPr>
          <w:rFonts w:ascii="Arial" w:hAnsi="Arial" w:cs="Arial"/>
        </w:rPr>
        <w:t xml:space="preserve">Across-the-Curve Credit Spread </w:t>
      </w:r>
      <w:r w:rsidR="00AD578D" w:rsidRPr="00526A60">
        <w:rPr>
          <w:rFonts w:ascii="Arial" w:hAnsi="Arial" w:cs="Arial"/>
        </w:rPr>
        <w:t xml:space="preserve">Indices </w:t>
      </w:r>
      <w:r w:rsidR="00AD578D">
        <w:rPr>
          <w:rFonts w:ascii="Arial" w:hAnsi="Arial" w:cs="Arial"/>
        </w:rPr>
        <w:t xml:space="preserve">such as </w:t>
      </w:r>
      <w:r w:rsidRPr="00526A60">
        <w:rPr>
          <w:rFonts w:ascii="Arial" w:hAnsi="Arial" w:cs="Arial"/>
        </w:rPr>
        <w:t>AXI</w:t>
      </w:r>
      <w:r w:rsidR="00AD578D">
        <w:rPr>
          <w:rFonts w:ascii="Arial" w:hAnsi="Arial" w:cs="Arial"/>
        </w:rPr>
        <w:t xml:space="preserve"> and FXI</w:t>
      </w:r>
      <w:r>
        <w:rPr>
          <w:rFonts w:ascii="Arial" w:hAnsi="Arial" w:cs="Arial"/>
        </w:rPr>
        <w:t xml:space="preserve"> as robustly designed credit spread </w:t>
      </w:r>
      <w:r w:rsidR="00CE6C14">
        <w:rPr>
          <w:rFonts w:ascii="Arial" w:hAnsi="Arial" w:cs="Arial"/>
        </w:rPr>
        <w:t>supplements</w:t>
      </w:r>
      <w:r>
        <w:rPr>
          <w:rFonts w:ascii="Arial" w:hAnsi="Arial" w:cs="Arial"/>
        </w:rPr>
        <w:t xml:space="preserve"> to SOFR</w:t>
      </w:r>
      <w:r w:rsidRPr="00526A60">
        <w:rPr>
          <w:rFonts w:ascii="Arial" w:hAnsi="Arial" w:cs="Arial"/>
        </w:rPr>
        <w:t>. SOFR</w:t>
      </w:r>
      <w:r w:rsidR="00C90E0C">
        <w:rPr>
          <w:rFonts w:ascii="Arial" w:hAnsi="Arial" w:cs="Arial"/>
        </w:rPr>
        <w:t xml:space="preserve">, </w:t>
      </w:r>
      <w:r w:rsidRPr="00526A60">
        <w:rPr>
          <w:rFonts w:ascii="Arial" w:hAnsi="Arial" w:cs="Arial"/>
        </w:rPr>
        <w:t xml:space="preserve">AXI </w:t>
      </w:r>
      <w:r w:rsidR="00C90E0C">
        <w:rPr>
          <w:rFonts w:ascii="Arial" w:hAnsi="Arial" w:cs="Arial"/>
        </w:rPr>
        <w:t xml:space="preserve">and FXI </w:t>
      </w:r>
      <w:r w:rsidRPr="00526A60">
        <w:rPr>
          <w:rFonts w:ascii="Arial" w:hAnsi="Arial" w:cs="Arial"/>
        </w:rPr>
        <w:t xml:space="preserve">are well-designed </w:t>
      </w:r>
      <w:r w:rsidR="00AD578D">
        <w:rPr>
          <w:rFonts w:ascii="Arial" w:hAnsi="Arial" w:cs="Arial"/>
        </w:rPr>
        <w:t xml:space="preserve">benchmarks </w:t>
      </w:r>
      <w:r w:rsidRPr="00526A60">
        <w:rPr>
          <w:rFonts w:ascii="Arial" w:hAnsi="Arial" w:cs="Arial"/>
        </w:rPr>
        <w:t>and grounded in</w:t>
      </w:r>
      <w:r>
        <w:rPr>
          <w:rFonts w:ascii="Arial" w:hAnsi="Arial" w:cs="Arial"/>
        </w:rPr>
        <w:t xml:space="preserve"> </w:t>
      </w:r>
      <w:r w:rsidRPr="00526A60">
        <w:rPr>
          <w:rFonts w:ascii="Arial" w:hAnsi="Arial" w:cs="Arial"/>
        </w:rPr>
        <w:t>market transactions.</w:t>
      </w:r>
      <w:r w:rsidR="00135D97">
        <w:rPr>
          <w:rFonts w:ascii="Arial" w:hAnsi="Arial" w:cs="Arial"/>
        </w:rPr>
        <w:t xml:space="preserve"> </w:t>
      </w:r>
    </w:p>
    <w:p w14:paraId="74268CC6" w14:textId="77777777" w:rsidR="006D3E8D" w:rsidRDefault="006D3E8D" w:rsidP="00526A60">
      <w:pPr>
        <w:rPr>
          <w:rFonts w:ascii="Arial" w:hAnsi="Arial" w:cs="Arial"/>
        </w:rPr>
      </w:pPr>
    </w:p>
    <w:tbl>
      <w:tblPr>
        <w:tblStyle w:val="TableGrid"/>
        <w:tblW w:w="987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746"/>
        <w:gridCol w:w="3294"/>
        <w:gridCol w:w="3065"/>
        <w:gridCol w:w="2770"/>
      </w:tblGrid>
      <w:tr w:rsidR="003A6C1D" w14:paraId="2387E290" w14:textId="77777777" w:rsidTr="00F14734">
        <w:trPr>
          <w:trHeight w:val="979"/>
        </w:trPr>
        <w:tc>
          <w:tcPr>
            <w:tcW w:w="746" w:type="dxa"/>
            <w:shd w:val="clear" w:color="auto" w:fill="000066"/>
            <w:tcMar>
              <w:top w:w="115" w:type="dxa"/>
              <w:left w:w="115" w:type="dxa"/>
              <w:bottom w:w="115" w:type="dxa"/>
              <w:right w:w="115" w:type="dxa"/>
            </w:tcMar>
            <w:vAlign w:val="center"/>
          </w:tcPr>
          <w:p w14:paraId="05F39074" w14:textId="77777777" w:rsidR="003A6C1D" w:rsidRPr="003A6C1D" w:rsidRDefault="003A6C1D" w:rsidP="003A6C1D">
            <w:pPr>
              <w:jc w:val="center"/>
              <w:rPr>
                <w:rFonts w:ascii="Arial" w:hAnsi="Arial" w:cs="Arial"/>
                <w:color w:val="FFFFFF" w:themeColor="background1"/>
              </w:rPr>
            </w:pPr>
            <w:r w:rsidRPr="003A6C1D">
              <w:rPr>
                <w:rFonts w:ascii="Arial" w:hAnsi="Arial" w:cs="Arial"/>
                <w:color w:val="FFFFFF" w:themeColor="background1"/>
              </w:rPr>
              <w:t>#</w:t>
            </w:r>
          </w:p>
        </w:tc>
        <w:tc>
          <w:tcPr>
            <w:tcW w:w="3294" w:type="dxa"/>
            <w:shd w:val="clear" w:color="auto" w:fill="000066"/>
            <w:tcMar>
              <w:top w:w="115" w:type="dxa"/>
              <w:left w:w="115" w:type="dxa"/>
              <w:bottom w:w="115" w:type="dxa"/>
              <w:right w:w="115" w:type="dxa"/>
            </w:tcMar>
            <w:vAlign w:val="center"/>
          </w:tcPr>
          <w:p w14:paraId="6BF963D1" w14:textId="77777777" w:rsidR="003A6C1D" w:rsidRPr="003A6C1D" w:rsidRDefault="00F32814" w:rsidP="003A6C1D">
            <w:pPr>
              <w:jc w:val="center"/>
              <w:rPr>
                <w:rFonts w:ascii="Arial" w:hAnsi="Arial" w:cs="Arial"/>
                <w:color w:val="FFFFFF" w:themeColor="background1"/>
              </w:rPr>
            </w:pPr>
            <w:r w:rsidRPr="00F32814">
              <w:rPr>
                <w:rFonts w:ascii="Arial" w:hAnsi="Arial" w:cs="Arial"/>
                <w:color w:val="FFFFFF" w:themeColor="background1"/>
              </w:rPr>
              <w:t xml:space="preserve">Potential </w:t>
            </w:r>
            <w:r>
              <w:rPr>
                <w:rFonts w:ascii="Arial" w:hAnsi="Arial" w:cs="Arial"/>
                <w:color w:val="FFFFFF" w:themeColor="background1"/>
              </w:rPr>
              <w:t xml:space="preserve">financial </w:t>
            </w:r>
            <w:r w:rsidRPr="00F32814">
              <w:rPr>
                <w:rFonts w:ascii="Arial" w:hAnsi="Arial" w:cs="Arial"/>
                <w:color w:val="FFFFFF" w:themeColor="background1"/>
              </w:rPr>
              <w:t xml:space="preserve">stability </w:t>
            </w:r>
            <w:r w:rsidR="00F8027C">
              <w:rPr>
                <w:rFonts w:ascii="Arial" w:hAnsi="Arial" w:cs="Arial"/>
                <w:color w:val="FFFFFF" w:themeColor="background1"/>
              </w:rPr>
              <w:t>considerations in connection</w:t>
            </w:r>
            <w:r w:rsidRPr="00F32814">
              <w:rPr>
                <w:rFonts w:ascii="Arial" w:hAnsi="Arial" w:cs="Arial"/>
                <w:color w:val="FFFFFF" w:themeColor="background1"/>
              </w:rPr>
              <w:t xml:space="preserve"> with credit-sensitive rates</w:t>
            </w:r>
          </w:p>
        </w:tc>
        <w:tc>
          <w:tcPr>
            <w:tcW w:w="3065" w:type="dxa"/>
            <w:shd w:val="clear" w:color="auto" w:fill="000066"/>
            <w:tcMar>
              <w:top w:w="115" w:type="dxa"/>
              <w:left w:w="115" w:type="dxa"/>
              <w:bottom w:w="115" w:type="dxa"/>
              <w:right w:w="115" w:type="dxa"/>
            </w:tcMar>
            <w:vAlign w:val="center"/>
          </w:tcPr>
          <w:p w14:paraId="5977332C" w14:textId="77777777" w:rsidR="003A6C1D" w:rsidRPr="003A6C1D" w:rsidRDefault="00657B2B" w:rsidP="003A6C1D">
            <w:pPr>
              <w:jc w:val="center"/>
              <w:rPr>
                <w:rFonts w:ascii="Arial" w:hAnsi="Arial" w:cs="Arial"/>
                <w:color w:val="FFFFFF" w:themeColor="background1"/>
              </w:rPr>
            </w:pPr>
            <w:r>
              <w:rPr>
                <w:rFonts w:ascii="Arial" w:hAnsi="Arial" w:cs="Arial"/>
                <w:color w:val="FFFFFF" w:themeColor="background1"/>
              </w:rPr>
              <w:t>USD-</w:t>
            </w:r>
            <w:r w:rsidR="003A6C1D" w:rsidRPr="003A6C1D">
              <w:rPr>
                <w:rFonts w:ascii="Arial" w:hAnsi="Arial" w:cs="Arial"/>
                <w:color w:val="FFFFFF" w:themeColor="background1"/>
              </w:rPr>
              <w:t>AXI</w:t>
            </w:r>
          </w:p>
        </w:tc>
        <w:tc>
          <w:tcPr>
            <w:tcW w:w="2770" w:type="dxa"/>
            <w:shd w:val="clear" w:color="auto" w:fill="000066"/>
            <w:tcMar>
              <w:top w:w="115" w:type="dxa"/>
              <w:left w:w="115" w:type="dxa"/>
              <w:bottom w:w="115" w:type="dxa"/>
              <w:right w:w="115" w:type="dxa"/>
            </w:tcMar>
            <w:vAlign w:val="center"/>
          </w:tcPr>
          <w:p w14:paraId="4CF30EB4" w14:textId="77777777" w:rsidR="003A6C1D" w:rsidRPr="003A6C1D" w:rsidRDefault="00657B2B" w:rsidP="003A6C1D">
            <w:pPr>
              <w:jc w:val="center"/>
              <w:rPr>
                <w:rFonts w:ascii="Arial" w:hAnsi="Arial" w:cs="Arial"/>
                <w:color w:val="FFFFFF" w:themeColor="background1"/>
              </w:rPr>
            </w:pPr>
            <w:r>
              <w:rPr>
                <w:rFonts w:ascii="Arial" w:hAnsi="Arial" w:cs="Arial"/>
                <w:color w:val="FFFFFF" w:themeColor="background1"/>
              </w:rPr>
              <w:t>USD-</w:t>
            </w:r>
            <w:r w:rsidR="003A6C1D" w:rsidRPr="003A6C1D">
              <w:rPr>
                <w:rFonts w:ascii="Arial" w:hAnsi="Arial" w:cs="Arial"/>
                <w:color w:val="FFFFFF" w:themeColor="background1"/>
              </w:rPr>
              <w:t>FXI</w:t>
            </w:r>
          </w:p>
        </w:tc>
      </w:tr>
      <w:tr w:rsidR="00DD4927" w14:paraId="2D1C6617" w14:textId="77777777" w:rsidTr="00F14734">
        <w:trPr>
          <w:trHeight w:val="1817"/>
        </w:trPr>
        <w:tc>
          <w:tcPr>
            <w:tcW w:w="746" w:type="dxa"/>
            <w:shd w:val="clear" w:color="auto" w:fill="5979A7"/>
            <w:tcMar>
              <w:top w:w="115" w:type="dxa"/>
              <w:left w:w="115" w:type="dxa"/>
              <w:bottom w:w="115" w:type="dxa"/>
              <w:right w:w="115" w:type="dxa"/>
            </w:tcMar>
            <w:vAlign w:val="center"/>
          </w:tcPr>
          <w:p w14:paraId="2F0B799E" w14:textId="77777777" w:rsidR="00DD4927" w:rsidRPr="003A6C1D" w:rsidRDefault="00DD4927" w:rsidP="003A6C1D">
            <w:pPr>
              <w:jc w:val="center"/>
              <w:rPr>
                <w:rFonts w:ascii="Arial" w:hAnsi="Arial" w:cs="Arial"/>
                <w:color w:val="FFFFFF" w:themeColor="background1"/>
              </w:rPr>
            </w:pPr>
            <w:r w:rsidRPr="003A6C1D">
              <w:rPr>
                <w:rFonts w:ascii="Arial" w:hAnsi="Arial" w:cs="Arial"/>
                <w:color w:val="FFFFFF" w:themeColor="background1"/>
              </w:rPr>
              <w:t>1</w:t>
            </w:r>
          </w:p>
        </w:tc>
        <w:tc>
          <w:tcPr>
            <w:tcW w:w="3294" w:type="dxa"/>
            <w:shd w:val="clear" w:color="auto" w:fill="E7E6E6" w:themeFill="background2"/>
            <w:tcMar>
              <w:top w:w="115" w:type="dxa"/>
              <w:left w:w="115" w:type="dxa"/>
              <w:bottom w:w="115" w:type="dxa"/>
              <w:right w:w="115" w:type="dxa"/>
            </w:tcMar>
            <w:vAlign w:val="center"/>
          </w:tcPr>
          <w:p w14:paraId="66456AED" w14:textId="77777777" w:rsidR="00DD4927" w:rsidRDefault="00DD4927" w:rsidP="003A6C1D">
            <w:pPr>
              <w:rPr>
                <w:rFonts w:ascii="Arial" w:hAnsi="Arial" w:cs="Arial"/>
              </w:rPr>
            </w:pPr>
            <w:r w:rsidRPr="003A6C1D">
              <w:rPr>
                <w:rFonts w:ascii="Arial" w:hAnsi="Arial" w:cs="Arial"/>
              </w:rPr>
              <w:t xml:space="preserve">Measure a small fraction of banks’ actual funding costs, as issuance of </w:t>
            </w:r>
            <w:r w:rsidR="00CE6C14">
              <w:rPr>
                <w:rFonts w:ascii="Arial" w:hAnsi="Arial" w:cs="Arial"/>
              </w:rPr>
              <w:t>Commercial</w:t>
            </w:r>
            <w:r w:rsidR="00EA75FF">
              <w:rPr>
                <w:rFonts w:ascii="Arial" w:hAnsi="Arial" w:cs="Arial"/>
              </w:rPr>
              <w:t xml:space="preserve"> Paper (</w:t>
            </w:r>
            <w:r w:rsidRPr="003A6C1D">
              <w:rPr>
                <w:rFonts w:ascii="Arial" w:hAnsi="Arial" w:cs="Arial"/>
              </w:rPr>
              <w:t>CP</w:t>
            </w:r>
            <w:r w:rsidR="00EA75FF">
              <w:rPr>
                <w:rFonts w:ascii="Arial" w:hAnsi="Arial" w:cs="Arial"/>
              </w:rPr>
              <w:t>)</w:t>
            </w:r>
            <w:r w:rsidRPr="003A6C1D">
              <w:rPr>
                <w:rFonts w:ascii="Arial" w:hAnsi="Arial" w:cs="Arial"/>
              </w:rPr>
              <w:t xml:space="preserve"> and </w:t>
            </w:r>
            <w:r w:rsidR="00EA75FF">
              <w:rPr>
                <w:rFonts w:ascii="Arial" w:hAnsi="Arial" w:cs="Arial"/>
              </w:rPr>
              <w:t>Certificates of Deposit (CD)</w:t>
            </w:r>
            <w:r w:rsidRPr="003A6C1D">
              <w:rPr>
                <w:rFonts w:ascii="Arial" w:hAnsi="Arial" w:cs="Arial"/>
              </w:rPr>
              <w:t xml:space="preserve"> represent</w:t>
            </w:r>
            <w:r w:rsidR="00090699">
              <w:rPr>
                <w:rFonts w:ascii="Arial" w:hAnsi="Arial" w:cs="Arial"/>
              </w:rPr>
              <w:t xml:space="preserve"> </w:t>
            </w:r>
            <w:r w:rsidRPr="003A6C1D">
              <w:rPr>
                <w:rFonts w:ascii="Arial" w:hAnsi="Arial" w:cs="Arial"/>
              </w:rPr>
              <w:t>only a small proportion of banks’ funding</w:t>
            </w:r>
          </w:p>
        </w:tc>
        <w:tc>
          <w:tcPr>
            <w:tcW w:w="5835" w:type="dxa"/>
            <w:gridSpan w:val="2"/>
            <w:shd w:val="clear" w:color="auto" w:fill="E7E6E6" w:themeFill="background2"/>
            <w:tcMar>
              <w:top w:w="115" w:type="dxa"/>
              <w:left w:w="115" w:type="dxa"/>
              <w:bottom w:w="115" w:type="dxa"/>
              <w:right w:w="115" w:type="dxa"/>
            </w:tcMar>
            <w:vAlign w:val="center"/>
          </w:tcPr>
          <w:p w14:paraId="1023FFB6" w14:textId="77777777" w:rsidR="003F00C1" w:rsidRPr="003F00C1" w:rsidRDefault="003F00C1" w:rsidP="003F00C1">
            <w:pPr>
              <w:rPr>
                <w:rFonts w:ascii="Arial" w:hAnsi="Arial" w:cs="Arial"/>
              </w:rPr>
            </w:pPr>
            <w:r w:rsidRPr="003F00C1">
              <w:rPr>
                <w:rFonts w:ascii="Arial" w:hAnsi="Arial" w:cs="Arial"/>
              </w:rPr>
              <w:t>Large banks no longer fund themselves at LIBOR in the same way that they used to, and there are not</w:t>
            </w:r>
          </w:p>
          <w:p w14:paraId="50159506" w14:textId="77777777" w:rsidR="003F00C1" w:rsidRDefault="003F00C1" w:rsidP="003F00C1">
            <w:pPr>
              <w:rPr>
                <w:rFonts w:ascii="Arial" w:hAnsi="Arial" w:cs="Arial"/>
              </w:rPr>
            </w:pPr>
            <w:r w:rsidRPr="003F00C1">
              <w:rPr>
                <w:rFonts w:ascii="Arial" w:hAnsi="Arial" w:cs="Arial"/>
              </w:rPr>
              <w:t>enough transactions with which to calculate LIBOR. Regulations have induced banks to “term out” most of their unsecured funding to longer maturities</w:t>
            </w:r>
            <w:r w:rsidR="005658E2">
              <w:rPr>
                <w:rFonts w:ascii="Arial" w:hAnsi="Arial" w:cs="Arial"/>
              </w:rPr>
              <w:t xml:space="preserve"> </w:t>
            </w:r>
            <w:hyperlink r:id="rId7" w:history="1">
              <w:r w:rsidR="005658E2" w:rsidRPr="00D15A4A">
                <w:rPr>
                  <w:rStyle w:val="Hyperlink"/>
                  <w:rFonts w:ascii="Arial" w:hAnsi="Arial" w:cs="Arial"/>
                </w:rPr>
                <w:t>(Committee on the Global Financial System (2018))</w:t>
              </w:r>
            </w:hyperlink>
            <w:r w:rsidR="005658E2" w:rsidRPr="00D15A4A">
              <w:rPr>
                <w:rFonts w:ascii="Arial" w:hAnsi="Arial" w:cs="Arial"/>
              </w:rPr>
              <w:t>.</w:t>
            </w:r>
          </w:p>
          <w:p w14:paraId="6702F1F3" w14:textId="77777777" w:rsidR="003F00C1" w:rsidRDefault="003F00C1" w:rsidP="003F00C1">
            <w:pPr>
              <w:rPr>
                <w:rFonts w:ascii="Arial" w:hAnsi="Arial" w:cs="Arial"/>
              </w:rPr>
            </w:pPr>
          </w:p>
          <w:p w14:paraId="7708F142" w14:textId="77777777" w:rsidR="00DD4927" w:rsidRDefault="007B7B1B" w:rsidP="003F00C1">
            <w:pPr>
              <w:rPr>
                <w:rFonts w:ascii="Arial" w:hAnsi="Arial" w:cs="Arial"/>
              </w:rPr>
            </w:pPr>
            <w:r>
              <w:rPr>
                <w:rFonts w:ascii="Arial" w:hAnsi="Arial" w:cs="Arial"/>
              </w:rPr>
              <w:t>AXI and FXI</w:t>
            </w:r>
            <w:r w:rsidR="00657B2B">
              <w:rPr>
                <w:rFonts w:ascii="Arial" w:hAnsi="Arial" w:cs="Arial"/>
              </w:rPr>
              <w:t xml:space="preserve"> </w:t>
            </w:r>
            <w:r w:rsidR="00DD4927">
              <w:rPr>
                <w:rFonts w:ascii="Arial" w:hAnsi="Arial" w:cs="Arial"/>
              </w:rPr>
              <w:t xml:space="preserve">are not limited to short term funding markets such as </w:t>
            </w:r>
            <w:r w:rsidR="00A426F1">
              <w:rPr>
                <w:rFonts w:ascii="Arial" w:hAnsi="Arial" w:cs="Arial"/>
              </w:rPr>
              <w:t>Commercial</w:t>
            </w:r>
            <w:r w:rsidR="00B97E05">
              <w:rPr>
                <w:rFonts w:ascii="Arial" w:hAnsi="Arial" w:cs="Arial"/>
              </w:rPr>
              <w:t xml:space="preserve"> Paper (</w:t>
            </w:r>
            <w:r w:rsidR="00DD4927">
              <w:rPr>
                <w:rFonts w:ascii="Arial" w:hAnsi="Arial" w:cs="Arial"/>
              </w:rPr>
              <w:t>CP</w:t>
            </w:r>
            <w:r w:rsidR="00A426F1">
              <w:rPr>
                <w:rFonts w:ascii="Arial" w:hAnsi="Arial" w:cs="Arial"/>
              </w:rPr>
              <w:t>)</w:t>
            </w:r>
            <w:r w:rsidR="00DD4927">
              <w:rPr>
                <w:rFonts w:ascii="Arial" w:hAnsi="Arial" w:cs="Arial"/>
              </w:rPr>
              <w:t xml:space="preserve"> and </w:t>
            </w:r>
            <w:r w:rsidR="00A426F1">
              <w:rPr>
                <w:rFonts w:ascii="Arial" w:hAnsi="Arial" w:cs="Arial"/>
              </w:rPr>
              <w:t>Certificates of Deposit (CD)</w:t>
            </w:r>
            <w:r w:rsidR="00DD4927">
              <w:rPr>
                <w:rFonts w:ascii="Arial" w:hAnsi="Arial" w:cs="Arial"/>
              </w:rPr>
              <w:t xml:space="preserve">. </w:t>
            </w:r>
            <w:r w:rsidR="00D01D9A">
              <w:rPr>
                <w:rFonts w:ascii="Arial" w:hAnsi="Arial" w:cs="Arial"/>
              </w:rPr>
              <w:t xml:space="preserve">Rather, </w:t>
            </w:r>
            <w:r w:rsidR="00DD4927">
              <w:rPr>
                <w:rFonts w:ascii="Arial" w:hAnsi="Arial" w:cs="Arial"/>
              </w:rPr>
              <w:t xml:space="preserve">AXI and FXI </w:t>
            </w:r>
            <w:r w:rsidR="00F80408" w:rsidRPr="00F80408">
              <w:rPr>
                <w:rFonts w:ascii="Arial" w:hAnsi="Arial" w:cs="Arial"/>
              </w:rPr>
              <w:t>depend on a</w:t>
            </w:r>
            <w:r w:rsidR="00F80408">
              <w:rPr>
                <w:rFonts w:ascii="Arial" w:hAnsi="Arial" w:cs="Arial"/>
              </w:rPr>
              <w:t xml:space="preserve"> </w:t>
            </w:r>
            <w:r w:rsidR="00F80408" w:rsidRPr="00F80408">
              <w:rPr>
                <w:rFonts w:ascii="Arial" w:hAnsi="Arial" w:cs="Arial"/>
              </w:rPr>
              <w:t>broad set of debt issuances with maturities ranging</w:t>
            </w:r>
            <w:r w:rsidR="00F80408">
              <w:rPr>
                <w:rFonts w:ascii="Arial" w:hAnsi="Arial" w:cs="Arial"/>
              </w:rPr>
              <w:t xml:space="preserve"> </w:t>
            </w:r>
            <w:r w:rsidR="00F80408" w:rsidRPr="00F80408">
              <w:rPr>
                <w:rFonts w:ascii="Arial" w:hAnsi="Arial" w:cs="Arial"/>
              </w:rPr>
              <w:t>from short term to multiple years</w:t>
            </w:r>
            <w:r w:rsidR="00D028F8">
              <w:rPr>
                <w:rFonts w:ascii="Arial" w:hAnsi="Arial" w:cs="Arial"/>
              </w:rPr>
              <w:t>.</w:t>
            </w:r>
            <w:r w:rsidR="00F80408" w:rsidRPr="00F80408">
              <w:rPr>
                <w:rFonts w:ascii="Arial" w:hAnsi="Arial" w:cs="Arial"/>
              </w:rPr>
              <w:t xml:space="preserve"> </w:t>
            </w:r>
          </w:p>
        </w:tc>
      </w:tr>
      <w:tr w:rsidR="003A6C1D" w14:paraId="5F376FB6" w14:textId="77777777" w:rsidTr="00F14734">
        <w:trPr>
          <w:trHeight w:val="979"/>
        </w:trPr>
        <w:tc>
          <w:tcPr>
            <w:tcW w:w="746" w:type="dxa"/>
            <w:shd w:val="clear" w:color="auto" w:fill="5979A7"/>
            <w:tcMar>
              <w:top w:w="115" w:type="dxa"/>
              <w:left w:w="115" w:type="dxa"/>
              <w:bottom w:w="115" w:type="dxa"/>
              <w:right w:w="115" w:type="dxa"/>
            </w:tcMar>
            <w:vAlign w:val="center"/>
          </w:tcPr>
          <w:p w14:paraId="35855699" w14:textId="77777777" w:rsidR="003A6C1D" w:rsidRPr="003A6C1D" w:rsidRDefault="003A6C1D" w:rsidP="003A6C1D">
            <w:pPr>
              <w:jc w:val="center"/>
              <w:rPr>
                <w:rFonts w:ascii="Arial" w:hAnsi="Arial" w:cs="Arial"/>
                <w:color w:val="FFFFFF" w:themeColor="background1"/>
              </w:rPr>
            </w:pPr>
            <w:r w:rsidRPr="003A6C1D">
              <w:rPr>
                <w:rFonts w:ascii="Arial" w:hAnsi="Arial" w:cs="Arial"/>
                <w:color w:val="FFFFFF" w:themeColor="background1"/>
              </w:rPr>
              <w:t>2</w:t>
            </w:r>
          </w:p>
        </w:tc>
        <w:tc>
          <w:tcPr>
            <w:tcW w:w="3294" w:type="dxa"/>
            <w:shd w:val="clear" w:color="auto" w:fill="E7E6E6" w:themeFill="background2"/>
            <w:tcMar>
              <w:top w:w="115" w:type="dxa"/>
              <w:left w:w="115" w:type="dxa"/>
              <w:bottom w:w="115" w:type="dxa"/>
              <w:right w:w="115" w:type="dxa"/>
            </w:tcMar>
            <w:vAlign w:val="center"/>
          </w:tcPr>
          <w:p w14:paraId="5758080B" w14:textId="77777777" w:rsidR="003A6C1D" w:rsidRDefault="00AA15BE" w:rsidP="00905F80">
            <w:pPr>
              <w:rPr>
                <w:rFonts w:ascii="Arial" w:hAnsi="Arial" w:cs="Arial"/>
              </w:rPr>
            </w:pPr>
            <w:r w:rsidRPr="00AA15BE">
              <w:rPr>
                <w:rFonts w:ascii="Arial" w:hAnsi="Arial" w:cs="Arial"/>
              </w:rPr>
              <w:t>Typically have very low average transaction volumes, and almost none in periods of</w:t>
            </w:r>
            <w:r w:rsidR="00905F80">
              <w:rPr>
                <w:rFonts w:ascii="Arial" w:hAnsi="Arial" w:cs="Arial"/>
              </w:rPr>
              <w:t xml:space="preserve"> </w:t>
            </w:r>
            <w:r w:rsidRPr="00AA15BE">
              <w:rPr>
                <w:rFonts w:ascii="Arial" w:hAnsi="Arial" w:cs="Arial"/>
              </w:rPr>
              <w:t>market stress. As seen during the ‘dash for cash’ in March 2020, transactions in underlying CP</w:t>
            </w:r>
            <w:r w:rsidR="008668A5">
              <w:rPr>
                <w:rFonts w:ascii="Arial" w:hAnsi="Arial" w:cs="Arial"/>
              </w:rPr>
              <w:t xml:space="preserve"> </w:t>
            </w:r>
            <w:r w:rsidRPr="00AA15BE">
              <w:rPr>
                <w:rFonts w:ascii="Arial" w:hAnsi="Arial" w:cs="Arial"/>
              </w:rPr>
              <w:t>and CD markets fell away, and the liquidity premium for cash placed upward pressure on rates.</w:t>
            </w:r>
            <w:r w:rsidR="008668A5">
              <w:rPr>
                <w:rFonts w:ascii="Arial" w:hAnsi="Arial" w:cs="Arial"/>
              </w:rPr>
              <w:t xml:space="preserve"> </w:t>
            </w:r>
            <w:r w:rsidRPr="00AA15BE">
              <w:rPr>
                <w:rFonts w:ascii="Arial" w:hAnsi="Arial" w:cs="Arial"/>
              </w:rPr>
              <w:t>In comparison, the volume of transactions underpinning SONIA and SOFR rose over the same</w:t>
            </w:r>
            <w:r w:rsidR="008668A5">
              <w:rPr>
                <w:rFonts w:ascii="Arial" w:hAnsi="Arial" w:cs="Arial"/>
              </w:rPr>
              <w:t xml:space="preserve"> </w:t>
            </w:r>
            <w:r w:rsidRPr="00AA15BE">
              <w:rPr>
                <w:rFonts w:ascii="Arial" w:hAnsi="Arial" w:cs="Arial"/>
              </w:rPr>
              <w:t>period</w:t>
            </w:r>
          </w:p>
        </w:tc>
        <w:tc>
          <w:tcPr>
            <w:tcW w:w="3065" w:type="dxa"/>
            <w:shd w:val="clear" w:color="auto" w:fill="E7E6E6" w:themeFill="background2"/>
            <w:tcMar>
              <w:top w:w="115" w:type="dxa"/>
              <w:left w:w="115" w:type="dxa"/>
              <w:bottom w:w="115" w:type="dxa"/>
              <w:right w:w="115" w:type="dxa"/>
            </w:tcMar>
            <w:vAlign w:val="center"/>
          </w:tcPr>
          <w:p w14:paraId="67396D61" w14:textId="77777777" w:rsidR="00B10510" w:rsidRDefault="00B10510" w:rsidP="00D11E22">
            <w:pPr>
              <w:rPr>
                <w:rFonts w:ascii="Arial" w:hAnsi="Arial" w:cs="Arial"/>
              </w:rPr>
            </w:pPr>
            <w:r w:rsidRPr="00B10510">
              <w:rPr>
                <w:rFonts w:ascii="Arial" w:hAnsi="Arial" w:cs="Arial"/>
              </w:rPr>
              <w:t>Utilizing transactions from across-the-curve maximizes the underlying transaction volume that are used to calculate the benchmarks.</w:t>
            </w:r>
          </w:p>
          <w:p w14:paraId="212604D9" w14:textId="77777777" w:rsidR="00B10510" w:rsidRDefault="00B10510" w:rsidP="00D11E22">
            <w:pPr>
              <w:rPr>
                <w:rFonts w:ascii="Arial" w:hAnsi="Arial" w:cs="Arial"/>
              </w:rPr>
            </w:pPr>
          </w:p>
          <w:p w14:paraId="4A94ADCE" w14:textId="77777777" w:rsidR="00D7048E" w:rsidRDefault="007917B3" w:rsidP="00D11E22">
            <w:pPr>
              <w:rPr>
                <w:rFonts w:ascii="Arial" w:hAnsi="Arial" w:cs="Arial"/>
              </w:rPr>
            </w:pPr>
            <w:r>
              <w:rPr>
                <w:rFonts w:ascii="Arial" w:hAnsi="Arial" w:cs="Arial"/>
              </w:rPr>
              <w:t xml:space="preserve">Transaction </w:t>
            </w:r>
            <w:r w:rsidR="008D5C1B">
              <w:rPr>
                <w:rFonts w:ascii="Arial" w:hAnsi="Arial" w:cs="Arial"/>
              </w:rPr>
              <w:t xml:space="preserve">volume </w:t>
            </w:r>
            <w:r w:rsidR="007F2E47">
              <w:rPr>
                <w:rFonts w:ascii="Arial" w:hAnsi="Arial" w:cs="Arial"/>
              </w:rPr>
              <w:t xml:space="preserve">increased </w:t>
            </w:r>
            <w:r w:rsidR="00CE6C14">
              <w:rPr>
                <w:rFonts w:ascii="Arial" w:hAnsi="Arial" w:cs="Arial"/>
              </w:rPr>
              <w:t>during</w:t>
            </w:r>
            <w:r w:rsidR="007F2E47">
              <w:rPr>
                <w:rFonts w:ascii="Arial" w:hAnsi="Arial" w:cs="Arial"/>
              </w:rPr>
              <w:t xml:space="preserve"> the most recent market stress period. </w:t>
            </w:r>
            <w:r w:rsidR="0012572B">
              <w:rPr>
                <w:rFonts w:ascii="Arial" w:hAnsi="Arial" w:cs="Arial"/>
              </w:rPr>
              <w:t>In mi</w:t>
            </w:r>
            <w:r w:rsidR="00BA53DB">
              <w:rPr>
                <w:rFonts w:ascii="Arial" w:hAnsi="Arial" w:cs="Arial"/>
              </w:rPr>
              <w:t>d</w:t>
            </w:r>
            <w:r w:rsidR="0012572B">
              <w:rPr>
                <w:rFonts w:ascii="Arial" w:hAnsi="Arial" w:cs="Arial"/>
              </w:rPr>
              <w:t xml:space="preserve">-March 2023, </w:t>
            </w:r>
            <w:r w:rsidR="00341873">
              <w:rPr>
                <w:rFonts w:ascii="Arial" w:hAnsi="Arial" w:cs="Arial"/>
              </w:rPr>
              <w:t>underlying</w:t>
            </w:r>
            <w:r w:rsidR="0012572B">
              <w:rPr>
                <w:rFonts w:ascii="Arial" w:hAnsi="Arial" w:cs="Arial"/>
              </w:rPr>
              <w:t xml:space="preserve"> transaction volumes for the </w:t>
            </w:r>
            <w:r>
              <w:rPr>
                <w:rFonts w:ascii="Arial" w:hAnsi="Arial" w:cs="Arial"/>
              </w:rPr>
              <w:t>longer-</w:t>
            </w:r>
            <w:r w:rsidR="0012572B">
              <w:rPr>
                <w:rFonts w:ascii="Arial" w:hAnsi="Arial" w:cs="Arial"/>
              </w:rPr>
              <w:t xml:space="preserve">term bond </w:t>
            </w:r>
            <w:r w:rsidR="006D1BE6">
              <w:rPr>
                <w:rFonts w:ascii="Arial" w:hAnsi="Arial" w:cs="Arial"/>
              </w:rPr>
              <w:t>comp</w:t>
            </w:r>
            <w:r w:rsidR="00341873">
              <w:rPr>
                <w:rFonts w:ascii="Arial" w:hAnsi="Arial" w:cs="Arial"/>
              </w:rPr>
              <w:t>o</w:t>
            </w:r>
            <w:r w:rsidR="006D1BE6">
              <w:rPr>
                <w:rFonts w:ascii="Arial" w:hAnsi="Arial" w:cs="Arial"/>
              </w:rPr>
              <w:t>nent</w:t>
            </w:r>
            <w:r w:rsidR="0012572B">
              <w:rPr>
                <w:rFonts w:ascii="Arial" w:hAnsi="Arial" w:cs="Arial"/>
              </w:rPr>
              <w:t xml:space="preserve"> of AXI increase by </w:t>
            </w:r>
            <w:r w:rsidR="00CE6C14">
              <w:rPr>
                <w:rFonts w:ascii="Arial" w:hAnsi="Arial" w:cs="Arial"/>
              </w:rPr>
              <w:t>approximately</w:t>
            </w:r>
            <w:r w:rsidR="006D1BE6">
              <w:rPr>
                <w:rFonts w:ascii="Arial" w:hAnsi="Arial" w:cs="Arial"/>
              </w:rPr>
              <w:t xml:space="preserve"> </w:t>
            </w:r>
            <w:r w:rsidR="00065E99">
              <w:rPr>
                <w:rFonts w:ascii="Arial" w:hAnsi="Arial" w:cs="Arial"/>
              </w:rPr>
              <w:t>5</w:t>
            </w:r>
            <w:r w:rsidR="006D1BE6">
              <w:rPr>
                <w:rFonts w:ascii="Arial" w:hAnsi="Arial" w:cs="Arial"/>
              </w:rPr>
              <w:t>00%.</w:t>
            </w:r>
          </w:p>
        </w:tc>
        <w:tc>
          <w:tcPr>
            <w:tcW w:w="2770" w:type="dxa"/>
            <w:shd w:val="clear" w:color="auto" w:fill="E7E6E6" w:themeFill="background2"/>
            <w:tcMar>
              <w:top w:w="115" w:type="dxa"/>
              <w:left w:w="115" w:type="dxa"/>
              <w:bottom w:w="115" w:type="dxa"/>
              <w:right w:w="115" w:type="dxa"/>
            </w:tcMar>
            <w:vAlign w:val="center"/>
          </w:tcPr>
          <w:p w14:paraId="44DCA1C9" w14:textId="77777777" w:rsidR="003A6C1D" w:rsidRDefault="00107EE8" w:rsidP="003A6C1D">
            <w:pPr>
              <w:rPr>
                <w:rFonts w:ascii="Arial" w:hAnsi="Arial" w:cs="Arial"/>
              </w:rPr>
            </w:pPr>
            <w:r w:rsidRPr="00107EE8">
              <w:rPr>
                <w:rFonts w:ascii="Arial" w:hAnsi="Arial" w:cs="Arial"/>
              </w:rPr>
              <w:t>FXI follows the same methodology as AXI</w:t>
            </w:r>
            <w:r w:rsidR="007917B3">
              <w:rPr>
                <w:rFonts w:ascii="Arial" w:hAnsi="Arial" w:cs="Arial"/>
              </w:rPr>
              <w:t>,</w:t>
            </w:r>
            <w:r w:rsidRPr="00107EE8">
              <w:rPr>
                <w:rFonts w:ascii="Arial" w:hAnsi="Arial" w:cs="Arial"/>
              </w:rPr>
              <w:t xml:space="preserve"> but the underlying transactions are expanded beyond banks to include all financial institutions as well as corporate funding transactions.</w:t>
            </w:r>
            <w:r w:rsidR="00902815">
              <w:rPr>
                <w:rFonts w:ascii="Arial" w:hAnsi="Arial" w:cs="Arial"/>
              </w:rPr>
              <w:t xml:space="preserve"> </w:t>
            </w:r>
          </w:p>
        </w:tc>
      </w:tr>
      <w:tr w:rsidR="003A6C1D" w14:paraId="74549EC2" w14:textId="77777777" w:rsidTr="00F14734">
        <w:trPr>
          <w:trHeight w:val="979"/>
        </w:trPr>
        <w:tc>
          <w:tcPr>
            <w:tcW w:w="746" w:type="dxa"/>
            <w:shd w:val="clear" w:color="auto" w:fill="5979A7"/>
            <w:tcMar>
              <w:top w:w="115" w:type="dxa"/>
              <w:left w:w="115" w:type="dxa"/>
              <w:bottom w:w="115" w:type="dxa"/>
              <w:right w:w="115" w:type="dxa"/>
            </w:tcMar>
            <w:vAlign w:val="center"/>
          </w:tcPr>
          <w:p w14:paraId="6CC59532" w14:textId="77777777" w:rsidR="003A6C1D" w:rsidRPr="003A6C1D" w:rsidRDefault="003A6C1D" w:rsidP="003A6C1D">
            <w:pPr>
              <w:jc w:val="center"/>
              <w:rPr>
                <w:rFonts w:ascii="Arial" w:hAnsi="Arial" w:cs="Arial"/>
                <w:color w:val="FFFFFF" w:themeColor="background1"/>
              </w:rPr>
            </w:pPr>
            <w:r w:rsidRPr="003A6C1D">
              <w:rPr>
                <w:rFonts w:ascii="Arial" w:hAnsi="Arial" w:cs="Arial"/>
                <w:color w:val="FFFFFF" w:themeColor="background1"/>
              </w:rPr>
              <w:lastRenderedPageBreak/>
              <w:t>3</w:t>
            </w:r>
          </w:p>
        </w:tc>
        <w:tc>
          <w:tcPr>
            <w:tcW w:w="3294" w:type="dxa"/>
            <w:shd w:val="clear" w:color="auto" w:fill="E7E6E6" w:themeFill="background2"/>
            <w:tcMar>
              <w:top w:w="115" w:type="dxa"/>
              <w:left w:w="115" w:type="dxa"/>
              <w:bottom w:w="115" w:type="dxa"/>
              <w:right w:w="115" w:type="dxa"/>
            </w:tcMar>
            <w:vAlign w:val="center"/>
          </w:tcPr>
          <w:p w14:paraId="72F99792" w14:textId="77777777" w:rsidR="006A1A9A" w:rsidRPr="006A1A9A" w:rsidRDefault="006A1A9A" w:rsidP="006A1A9A">
            <w:pPr>
              <w:rPr>
                <w:rFonts w:ascii="Arial" w:hAnsi="Arial" w:cs="Arial"/>
              </w:rPr>
            </w:pPr>
            <w:r w:rsidRPr="006A1A9A">
              <w:rPr>
                <w:rFonts w:ascii="Arial" w:hAnsi="Arial" w:cs="Arial"/>
              </w:rPr>
              <w:t>Are highly sensitive to liquidity conditions, introducing large risk premia during stressed periods, which do not reflect wider funding conditions and could disproportionately affect</w:t>
            </w:r>
          </w:p>
          <w:p w14:paraId="6C38B858" w14:textId="77777777" w:rsidR="003A6C1D" w:rsidRDefault="006A1A9A" w:rsidP="006A1A9A">
            <w:pPr>
              <w:rPr>
                <w:rFonts w:ascii="Arial" w:hAnsi="Arial" w:cs="Arial"/>
              </w:rPr>
            </w:pPr>
            <w:r w:rsidRPr="006A1A9A">
              <w:rPr>
                <w:rFonts w:ascii="Arial" w:hAnsi="Arial" w:cs="Arial"/>
              </w:rPr>
              <w:t>borrowers.</w:t>
            </w:r>
          </w:p>
        </w:tc>
        <w:tc>
          <w:tcPr>
            <w:tcW w:w="3065" w:type="dxa"/>
            <w:shd w:val="clear" w:color="auto" w:fill="E7E6E6" w:themeFill="background2"/>
            <w:tcMar>
              <w:top w:w="115" w:type="dxa"/>
              <w:left w:w="115" w:type="dxa"/>
              <w:bottom w:w="115" w:type="dxa"/>
              <w:right w:w="115" w:type="dxa"/>
            </w:tcMar>
            <w:vAlign w:val="center"/>
          </w:tcPr>
          <w:p w14:paraId="5704EEFE" w14:textId="77777777" w:rsidR="00BA40D7" w:rsidRDefault="00BA40D7" w:rsidP="00BF6730">
            <w:pPr>
              <w:rPr>
                <w:rFonts w:ascii="Arial" w:hAnsi="Arial" w:cs="Arial"/>
              </w:rPr>
            </w:pPr>
            <w:r w:rsidRPr="00BA40D7">
              <w:rPr>
                <w:rFonts w:ascii="Arial" w:hAnsi="Arial" w:cs="Arial"/>
              </w:rPr>
              <w:t>Recent research shows that in a SOFR only regime, borrowers might be adversely affected during stress periods</w:t>
            </w:r>
            <w:r w:rsidR="00CC266E">
              <w:rPr>
                <w:rFonts w:ascii="Arial" w:hAnsi="Arial" w:cs="Arial"/>
              </w:rPr>
              <w:t xml:space="preserve"> </w:t>
            </w:r>
            <w:hyperlink r:id="rId8" w:history="1">
              <w:r w:rsidR="00CC266E" w:rsidRPr="00632A7E">
                <w:rPr>
                  <w:rStyle w:val="Hyperlink"/>
                  <w:rFonts w:ascii="Arial" w:hAnsi="Arial" w:cs="Arial"/>
                </w:rPr>
                <w:t>(</w:t>
              </w:r>
              <w:r w:rsidR="002A5061" w:rsidRPr="00632A7E">
                <w:rPr>
                  <w:rStyle w:val="Hyperlink"/>
                  <w:rFonts w:ascii="Arial" w:hAnsi="Arial" w:cs="Arial"/>
                </w:rPr>
                <w:t xml:space="preserve">Cooperman, </w:t>
              </w:r>
              <w:proofErr w:type="spellStart"/>
              <w:r w:rsidR="002A5061" w:rsidRPr="00632A7E">
                <w:rPr>
                  <w:rStyle w:val="Hyperlink"/>
                  <w:rFonts w:ascii="Arial" w:hAnsi="Arial" w:cs="Arial"/>
                </w:rPr>
                <w:t>Duffie</w:t>
              </w:r>
              <w:proofErr w:type="spellEnd"/>
              <w:r w:rsidR="002A5061" w:rsidRPr="00632A7E">
                <w:rPr>
                  <w:rStyle w:val="Hyperlink"/>
                  <w:rFonts w:ascii="Arial" w:hAnsi="Arial" w:cs="Arial"/>
                </w:rPr>
                <w:t xml:space="preserve">, Luck, Wang, and Yang </w:t>
              </w:r>
              <w:r w:rsidR="001F3357" w:rsidRPr="00632A7E">
                <w:rPr>
                  <w:rStyle w:val="Hyperlink"/>
                  <w:rFonts w:ascii="Arial" w:hAnsi="Arial" w:cs="Arial"/>
                </w:rPr>
                <w:t>(2023))</w:t>
              </w:r>
            </w:hyperlink>
            <w:r w:rsidR="001F3357">
              <w:rPr>
                <w:rFonts w:ascii="Arial" w:hAnsi="Arial" w:cs="Arial"/>
              </w:rPr>
              <w:t>.</w:t>
            </w:r>
            <w:r w:rsidRPr="00BA40D7">
              <w:rPr>
                <w:rFonts w:ascii="Arial" w:hAnsi="Arial" w:cs="Arial"/>
              </w:rPr>
              <w:t xml:space="preserve"> AXI </w:t>
            </w:r>
            <w:r w:rsidR="00157182">
              <w:rPr>
                <w:rFonts w:ascii="Arial" w:hAnsi="Arial" w:cs="Arial"/>
              </w:rPr>
              <w:t>and</w:t>
            </w:r>
            <w:r w:rsidRPr="00BA40D7">
              <w:rPr>
                <w:rFonts w:ascii="Arial" w:hAnsi="Arial" w:cs="Arial"/>
              </w:rPr>
              <w:t xml:space="preserve"> FXI can counteract the adverse impact on bank lending in distress times</w:t>
            </w:r>
            <w:r w:rsidR="00157182">
              <w:rPr>
                <w:rFonts w:ascii="Arial" w:hAnsi="Arial" w:cs="Arial"/>
              </w:rPr>
              <w:t xml:space="preserve"> </w:t>
            </w:r>
            <w:hyperlink r:id="rId9" w:history="1">
              <w:r w:rsidR="00157182" w:rsidRPr="00F1697A">
                <w:rPr>
                  <w:rStyle w:val="Hyperlink"/>
                  <w:rFonts w:ascii="Arial" w:hAnsi="Arial" w:cs="Arial"/>
                </w:rPr>
                <w:t>(Ghamami, 2023)</w:t>
              </w:r>
            </w:hyperlink>
            <w:r>
              <w:rPr>
                <w:rFonts w:ascii="Arial" w:hAnsi="Arial" w:cs="Arial"/>
              </w:rPr>
              <w:t>.</w:t>
            </w:r>
          </w:p>
          <w:p w14:paraId="73517D2F" w14:textId="77777777" w:rsidR="00BA40D7" w:rsidRDefault="00BA40D7" w:rsidP="00BF6730">
            <w:pPr>
              <w:rPr>
                <w:rFonts w:ascii="Arial" w:hAnsi="Arial" w:cs="Arial"/>
              </w:rPr>
            </w:pPr>
          </w:p>
          <w:p w14:paraId="183C5808" w14:textId="77777777" w:rsidR="00643B7B" w:rsidRDefault="00643B7B" w:rsidP="00BF6730">
            <w:pPr>
              <w:rPr>
                <w:rFonts w:ascii="Arial" w:hAnsi="Arial" w:cs="Arial"/>
              </w:rPr>
            </w:pPr>
            <w:r>
              <w:rPr>
                <w:rFonts w:ascii="Arial" w:hAnsi="Arial" w:cs="Arial"/>
              </w:rPr>
              <w:t>AXI is, by definition,</w:t>
            </w:r>
            <w:r w:rsidRPr="00C46FD0">
              <w:rPr>
                <w:rFonts w:ascii="Arial" w:hAnsi="Arial" w:cs="Arial"/>
              </w:rPr>
              <w:t xml:space="preserve"> </w:t>
            </w:r>
            <w:r>
              <w:rPr>
                <w:rFonts w:ascii="Arial" w:hAnsi="Arial" w:cs="Arial"/>
              </w:rPr>
              <w:t xml:space="preserve">highly correlated with banks’ contemporaneous </w:t>
            </w:r>
            <w:r w:rsidR="001A03F9">
              <w:rPr>
                <w:rFonts w:ascii="Arial" w:hAnsi="Arial" w:cs="Arial"/>
              </w:rPr>
              <w:t xml:space="preserve">marginal </w:t>
            </w:r>
            <w:r>
              <w:rPr>
                <w:rFonts w:ascii="Arial" w:hAnsi="Arial" w:cs="Arial"/>
              </w:rPr>
              <w:t>costs of funds.</w:t>
            </w:r>
          </w:p>
          <w:p w14:paraId="5E09EA5E" w14:textId="77777777" w:rsidR="00643B7B" w:rsidRDefault="00643B7B" w:rsidP="00BF6730">
            <w:pPr>
              <w:rPr>
                <w:rFonts w:ascii="Arial" w:hAnsi="Arial" w:cs="Arial"/>
              </w:rPr>
            </w:pPr>
          </w:p>
          <w:p w14:paraId="3D711295" w14:textId="77777777" w:rsidR="003A6C1D" w:rsidRDefault="003A6C1D" w:rsidP="00BF6730">
            <w:pPr>
              <w:rPr>
                <w:rFonts w:ascii="Arial" w:hAnsi="Arial" w:cs="Arial"/>
              </w:rPr>
            </w:pPr>
          </w:p>
        </w:tc>
        <w:tc>
          <w:tcPr>
            <w:tcW w:w="2770" w:type="dxa"/>
            <w:shd w:val="clear" w:color="auto" w:fill="E7E6E6" w:themeFill="background2"/>
            <w:tcMar>
              <w:top w:w="115" w:type="dxa"/>
              <w:left w:w="115" w:type="dxa"/>
              <w:bottom w:w="115" w:type="dxa"/>
              <w:right w:w="115" w:type="dxa"/>
            </w:tcMar>
            <w:vAlign w:val="center"/>
          </w:tcPr>
          <w:p w14:paraId="35E2B054" w14:textId="77777777" w:rsidR="003A6C1D" w:rsidRDefault="00902815" w:rsidP="003A6C1D">
            <w:pPr>
              <w:rPr>
                <w:rFonts w:ascii="Arial" w:hAnsi="Arial" w:cs="Arial"/>
              </w:rPr>
            </w:pPr>
            <w:r>
              <w:rPr>
                <w:rFonts w:ascii="Arial" w:hAnsi="Arial" w:cs="Arial"/>
              </w:rPr>
              <w:t xml:space="preserve">FXI is, by </w:t>
            </w:r>
            <w:r w:rsidR="00CE6C14">
              <w:rPr>
                <w:rFonts w:ascii="Arial" w:hAnsi="Arial" w:cs="Arial"/>
              </w:rPr>
              <w:t>definition</w:t>
            </w:r>
            <w:r>
              <w:rPr>
                <w:rFonts w:ascii="Arial" w:hAnsi="Arial" w:cs="Arial"/>
              </w:rPr>
              <w:t>,</w:t>
            </w:r>
            <w:r w:rsidRPr="00C46FD0">
              <w:rPr>
                <w:rFonts w:ascii="Arial" w:hAnsi="Arial" w:cs="Arial"/>
              </w:rPr>
              <w:t xml:space="preserve"> a direct </w:t>
            </w:r>
            <w:r w:rsidRPr="00902815">
              <w:rPr>
                <w:rFonts w:ascii="Arial" w:hAnsi="Arial" w:cs="Arial"/>
              </w:rPr>
              <w:t>reflect</w:t>
            </w:r>
            <w:r>
              <w:rPr>
                <w:rFonts w:ascii="Arial" w:hAnsi="Arial" w:cs="Arial"/>
              </w:rPr>
              <w:t>ion</w:t>
            </w:r>
            <w:r w:rsidRPr="00902815">
              <w:rPr>
                <w:rFonts w:ascii="Arial" w:hAnsi="Arial" w:cs="Arial"/>
              </w:rPr>
              <w:t xml:space="preserve"> </w:t>
            </w:r>
            <w:r w:rsidR="00171DD1">
              <w:rPr>
                <w:rFonts w:ascii="Arial" w:hAnsi="Arial" w:cs="Arial"/>
              </w:rPr>
              <w:t xml:space="preserve">of </w:t>
            </w:r>
            <w:r w:rsidRPr="00902815">
              <w:rPr>
                <w:rFonts w:ascii="Arial" w:hAnsi="Arial" w:cs="Arial"/>
              </w:rPr>
              <w:t>wider funding conditions</w:t>
            </w:r>
            <w:r>
              <w:rPr>
                <w:rFonts w:ascii="Arial" w:hAnsi="Arial" w:cs="Arial"/>
              </w:rPr>
              <w:t xml:space="preserve"> across the United States.</w:t>
            </w:r>
          </w:p>
          <w:p w14:paraId="549343F5" w14:textId="77777777" w:rsidR="00A345E2" w:rsidRDefault="00A345E2" w:rsidP="003A6C1D">
            <w:pPr>
              <w:rPr>
                <w:rFonts w:ascii="Arial" w:hAnsi="Arial" w:cs="Arial"/>
              </w:rPr>
            </w:pPr>
          </w:p>
          <w:p w14:paraId="30A2E5BF" w14:textId="77777777" w:rsidR="00A345E2" w:rsidRDefault="00A345E2" w:rsidP="003A6C1D">
            <w:pPr>
              <w:rPr>
                <w:rFonts w:ascii="Arial" w:hAnsi="Arial" w:cs="Arial"/>
              </w:rPr>
            </w:pPr>
            <w:r>
              <w:rPr>
                <w:rFonts w:ascii="Arial" w:hAnsi="Arial" w:cs="Arial"/>
              </w:rPr>
              <w:t xml:space="preserve">Movement of </w:t>
            </w:r>
            <w:r w:rsidR="004645FE">
              <w:rPr>
                <w:rFonts w:ascii="Arial" w:hAnsi="Arial" w:cs="Arial"/>
              </w:rPr>
              <w:t>FXI</w:t>
            </w:r>
            <w:r>
              <w:rPr>
                <w:rFonts w:ascii="Arial" w:hAnsi="Arial" w:cs="Arial"/>
              </w:rPr>
              <w:t xml:space="preserve"> relative to AXI in times of market stress will likely depend on the nature of the stress event. For example, </w:t>
            </w:r>
            <w:r w:rsidR="00DB55B8">
              <w:rPr>
                <w:rFonts w:ascii="Arial" w:hAnsi="Arial" w:cs="Arial"/>
              </w:rPr>
              <w:t xml:space="preserve">during </w:t>
            </w:r>
            <w:r w:rsidR="004645FE">
              <w:rPr>
                <w:rFonts w:ascii="Arial" w:hAnsi="Arial" w:cs="Arial"/>
              </w:rPr>
              <w:t xml:space="preserve">a </w:t>
            </w:r>
            <w:r w:rsidR="00C121E0">
              <w:rPr>
                <w:rFonts w:ascii="Arial" w:hAnsi="Arial" w:cs="Arial"/>
              </w:rPr>
              <w:t>broad-based</w:t>
            </w:r>
            <w:r w:rsidR="004645FE">
              <w:rPr>
                <w:rFonts w:ascii="Arial" w:hAnsi="Arial" w:cs="Arial"/>
              </w:rPr>
              <w:t xml:space="preserve"> stress even</w:t>
            </w:r>
            <w:r w:rsidR="00FF336D">
              <w:rPr>
                <w:rFonts w:ascii="Arial" w:hAnsi="Arial" w:cs="Arial"/>
              </w:rPr>
              <w:t>t</w:t>
            </w:r>
            <w:r w:rsidR="004645FE">
              <w:rPr>
                <w:rFonts w:ascii="Arial" w:hAnsi="Arial" w:cs="Arial"/>
              </w:rPr>
              <w:t xml:space="preserve"> such as COVID, FXI move</w:t>
            </w:r>
            <w:r w:rsidR="00FF336D">
              <w:rPr>
                <w:rFonts w:ascii="Arial" w:hAnsi="Arial" w:cs="Arial"/>
              </w:rPr>
              <w:t>d</w:t>
            </w:r>
            <w:r w:rsidR="004645FE">
              <w:rPr>
                <w:rFonts w:ascii="Arial" w:hAnsi="Arial" w:cs="Arial"/>
              </w:rPr>
              <w:t xml:space="preserve"> higher th</w:t>
            </w:r>
            <w:r w:rsidR="00FF336D">
              <w:rPr>
                <w:rFonts w:ascii="Arial" w:hAnsi="Arial" w:cs="Arial"/>
              </w:rPr>
              <w:t>a</w:t>
            </w:r>
            <w:r w:rsidR="004645FE">
              <w:rPr>
                <w:rFonts w:ascii="Arial" w:hAnsi="Arial" w:cs="Arial"/>
              </w:rPr>
              <w:t xml:space="preserve">n AXI. For a stress event </w:t>
            </w:r>
            <w:r w:rsidR="00CE6C14">
              <w:rPr>
                <w:rFonts w:ascii="Arial" w:hAnsi="Arial" w:cs="Arial"/>
              </w:rPr>
              <w:t>centered</w:t>
            </w:r>
            <w:r w:rsidR="004645FE">
              <w:rPr>
                <w:rFonts w:ascii="Arial" w:hAnsi="Arial" w:cs="Arial"/>
              </w:rPr>
              <w:t xml:space="preserve"> on the banking sector, such as the March 2023 banking turmoil, AXI will </w:t>
            </w:r>
            <w:r w:rsidR="00CE6C14">
              <w:rPr>
                <w:rFonts w:ascii="Arial" w:hAnsi="Arial" w:cs="Arial"/>
              </w:rPr>
              <w:t>likely</w:t>
            </w:r>
            <w:r w:rsidR="004645FE">
              <w:rPr>
                <w:rFonts w:ascii="Arial" w:hAnsi="Arial" w:cs="Arial"/>
              </w:rPr>
              <w:t xml:space="preserve"> move higher th</w:t>
            </w:r>
            <w:r w:rsidR="005E1134">
              <w:rPr>
                <w:rFonts w:ascii="Arial" w:hAnsi="Arial" w:cs="Arial"/>
              </w:rPr>
              <w:t>a</w:t>
            </w:r>
            <w:r w:rsidR="004645FE">
              <w:rPr>
                <w:rFonts w:ascii="Arial" w:hAnsi="Arial" w:cs="Arial"/>
              </w:rPr>
              <w:t>n FXI.</w:t>
            </w:r>
          </w:p>
        </w:tc>
      </w:tr>
      <w:tr w:rsidR="00A55AE7" w14:paraId="106A8D23" w14:textId="77777777" w:rsidTr="00F14734">
        <w:trPr>
          <w:trHeight w:val="979"/>
        </w:trPr>
        <w:tc>
          <w:tcPr>
            <w:tcW w:w="746" w:type="dxa"/>
            <w:shd w:val="clear" w:color="auto" w:fill="5979A7"/>
            <w:tcMar>
              <w:top w:w="115" w:type="dxa"/>
              <w:left w:w="115" w:type="dxa"/>
              <w:bottom w:w="115" w:type="dxa"/>
              <w:right w:w="115" w:type="dxa"/>
            </w:tcMar>
            <w:vAlign w:val="center"/>
          </w:tcPr>
          <w:p w14:paraId="6D5B7887" w14:textId="77777777" w:rsidR="00A55AE7" w:rsidRPr="003A6C1D" w:rsidRDefault="00A55AE7" w:rsidP="003A6C1D">
            <w:pPr>
              <w:jc w:val="center"/>
              <w:rPr>
                <w:rFonts w:ascii="Arial" w:hAnsi="Arial" w:cs="Arial"/>
                <w:color w:val="FFFFFF" w:themeColor="background1"/>
              </w:rPr>
            </w:pPr>
            <w:r w:rsidRPr="003A6C1D">
              <w:rPr>
                <w:rFonts w:ascii="Arial" w:hAnsi="Arial" w:cs="Arial"/>
                <w:color w:val="FFFFFF" w:themeColor="background1"/>
              </w:rPr>
              <w:t>4</w:t>
            </w:r>
          </w:p>
        </w:tc>
        <w:tc>
          <w:tcPr>
            <w:tcW w:w="3294" w:type="dxa"/>
            <w:shd w:val="clear" w:color="auto" w:fill="E7E6E6" w:themeFill="background2"/>
            <w:tcMar>
              <w:top w:w="115" w:type="dxa"/>
              <w:left w:w="115" w:type="dxa"/>
              <w:bottom w:w="115" w:type="dxa"/>
              <w:right w:w="115" w:type="dxa"/>
            </w:tcMar>
            <w:vAlign w:val="center"/>
          </w:tcPr>
          <w:p w14:paraId="692BBD37" w14:textId="77777777" w:rsidR="00A55AE7" w:rsidRPr="001E3AD6" w:rsidRDefault="00A55AE7" w:rsidP="001E3AD6">
            <w:pPr>
              <w:rPr>
                <w:rFonts w:ascii="Arial" w:hAnsi="Arial" w:cs="Arial"/>
              </w:rPr>
            </w:pPr>
            <w:r w:rsidRPr="001E3AD6">
              <w:rPr>
                <w:rFonts w:ascii="Arial" w:hAnsi="Arial" w:cs="Arial"/>
              </w:rPr>
              <w:t xml:space="preserve">Rely on models, quoted rates and other techniques, such as expanding the window of </w:t>
            </w:r>
            <w:r w:rsidR="00C121E0">
              <w:rPr>
                <w:rFonts w:ascii="Arial" w:hAnsi="Arial" w:cs="Arial"/>
              </w:rPr>
              <w:t>“</w:t>
            </w:r>
            <w:r w:rsidRPr="001E3AD6">
              <w:rPr>
                <w:rFonts w:ascii="Arial" w:hAnsi="Arial" w:cs="Arial"/>
              </w:rPr>
              <w:t>daily</w:t>
            </w:r>
          </w:p>
          <w:p w14:paraId="4E06CFA8" w14:textId="77777777" w:rsidR="00A55AE7" w:rsidRDefault="00A55AE7" w:rsidP="001E3AD6">
            <w:pPr>
              <w:rPr>
                <w:rFonts w:ascii="Arial" w:hAnsi="Arial" w:cs="Arial"/>
              </w:rPr>
            </w:pPr>
            <w:r w:rsidRPr="001E3AD6">
              <w:rPr>
                <w:rFonts w:ascii="Arial" w:hAnsi="Arial" w:cs="Arial"/>
              </w:rPr>
              <w:t>volumes,</w:t>
            </w:r>
            <w:r w:rsidR="00C121E0">
              <w:rPr>
                <w:rFonts w:ascii="Arial" w:hAnsi="Arial" w:cs="Arial"/>
              </w:rPr>
              <w:t>”</w:t>
            </w:r>
            <w:r w:rsidRPr="001E3AD6">
              <w:rPr>
                <w:rFonts w:ascii="Arial" w:hAnsi="Arial" w:cs="Arial"/>
              </w:rPr>
              <w:t xml:space="preserve"> to compensate for low underlying volumes.</w:t>
            </w:r>
          </w:p>
        </w:tc>
        <w:tc>
          <w:tcPr>
            <w:tcW w:w="5835" w:type="dxa"/>
            <w:gridSpan w:val="2"/>
            <w:shd w:val="clear" w:color="auto" w:fill="E7E6E6" w:themeFill="background2"/>
            <w:tcMar>
              <w:top w:w="115" w:type="dxa"/>
              <w:left w:w="115" w:type="dxa"/>
              <w:bottom w:w="115" w:type="dxa"/>
              <w:right w:w="115" w:type="dxa"/>
            </w:tcMar>
            <w:vAlign w:val="center"/>
          </w:tcPr>
          <w:p w14:paraId="7659305A" w14:textId="77777777" w:rsidR="00A10D6E" w:rsidRDefault="00A55AE7" w:rsidP="00A10D6E">
            <w:r>
              <w:rPr>
                <w:rFonts w:ascii="Arial" w:hAnsi="Arial" w:cs="Arial"/>
              </w:rPr>
              <w:t xml:space="preserve">Neither AXI </w:t>
            </w:r>
            <w:r w:rsidR="00170196">
              <w:rPr>
                <w:rFonts w:ascii="Arial" w:hAnsi="Arial" w:cs="Arial"/>
              </w:rPr>
              <w:t>nor</w:t>
            </w:r>
            <w:r>
              <w:rPr>
                <w:rFonts w:ascii="Arial" w:hAnsi="Arial" w:cs="Arial"/>
              </w:rPr>
              <w:t xml:space="preserve"> FXI rely </w:t>
            </w:r>
            <w:r w:rsidRPr="00A55AE7">
              <w:rPr>
                <w:rFonts w:ascii="Arial" w:hAnsi="Arial" w:cs="Arial"/>
              </w:rPr>
              <w:t>on models</w:t>
            </w:r>
            <w:r>
              <w:rPr>
                <w:rFonts w:ascii="Arial" w:hAnsi="Arial" w:cs="Arial"/>
              </w:rPr>
              <w:t xml:space="preserve"> or</w:t>
            </w:r>
            <w:r w:rsidRPr="00A55AE7">
              <w:rPr>
                <w:rFonts w:ascii="Arial" w:hAnsi="Arial" w:cs="Arial"/>
              </w:rPr>
              <w:t xml:space="preserve"> quoted rates</w:t>
            </w:r>
            <w:r>
              <w:rPr>
                <w:rFonts w:ascii="Arial" w:hAnsi="Arial" w:cs="Arial"/>
              </w:rPr>
              <w:t>.</w:t>
            </w:r>
            <w:r w:rsidR="00A10D6E">
              <w:t xml:space="preserve"> </w:t>
            </w:r>
          </w:p>
          <w:p w14:paraId="56A0E21B" w14:textId="77777777" w:rsidR="00A10D6E" w:rsidRDefault="00A10D6E" w:rsidP="00A10D6E"/>
          <w:p w14:paraId="750F17EC" w14:textId="77777777" w:rsidR="00A10D6E" w:rsidRPr="00A10D6E" w:rsidRDefault="00A10D6E" w:rsidP="00A10D6E">
            <w:pPr>
              <w:rPr>
                <w:rFonts w:ascii="Arial" w:hAnsi="Arial" w:cs="Arial"/>
              </w:rPr>
            </w:pPr>
            <w:r>
              <w:rPr>
                <w:rFonts w:ascii="Arial" w:hAnsi="Arial" w:cs="Arial"/>
              </w:rPr>
              <w:t>I</w:t>
            </w:r>
            <w:r w:rsidRPr="00A10D6E">
              <w:rPr>
                <w:rFonts w:ascii="Arial" w:hAnsi="Arial" w:cs="Arial"/>
              </w:rPr>
              <w:t xml:space="preserve">nput data for AXI </w:t>
            </w:r>
            <w:r w:rsidR="00CB63C5">
              <w:rPr>
                <w:rFonts w:ascii="Arial" w:hAnsi="Arial" w:cs="Arial"/>
              </w:rPr>
              <w:t>and F</w:t>
            </w:r>
            <w:r w:rsidR="003067FA">
              <w:rPr>
                <w:rFonts w:ascii="Arial" w:hAnsi="Arial" w:cs="Arial"/>
              </w:rPr>
              <w:t>X</w:t>
            </w:r>
            <w:r w:rsidR="00CB63C5">
              <w:rPr>
                <w:rFonts w:ascii="Arial" w:hAnsi="Arial" w:cs="Arial"/>
              </w:rPr>
              <w:t xml:space="preserve">I </w:t>
            </w:r>
            <w:r w:rsidRPr="00A10D6E">
              <w:rPr>
                <w:rFonts w:ascii="Arial" w:hAnsi="Arial" w:cs="Arial"/>
              </w:rPr>
              <w:t>is obtained only from</w:t>
            </w:r>
          </w:p>
          <w:p w14:paraId="5F15AB13" w14:textId="77777777" w:rsidR="00A10D6E" w:rsidRPr="00A10D6E" w:rsidRDefault="00A10D6E" w:rsidP="00A10D6E">
            <w:pPr>
              <w:rPr>
                <w:rFonts w:ascii="Arial" w:hAnsi="Arial" w:cs="Arial"/>
              </w:rPr>
            </w:pPr>
            <w:r w:rsidRPr="00A10D6E">
              <w:rPr>
                <w:rFonts w:ascii="Arial" w:hAnsi="Arial" w:cs="Arial"/>
              </w:rPr>
              <w:t xml:space="preserve">publicly available sources. The </w:t>
            </w:r>
            <w:r w:rsidR="00171DD1" w:rsidRPr="00A10D6E">
              <w:rPr>
                <w:rFonts w:ascii="Arial" w:hAnsi="Arial" w:cs="Arial"/>
              </w:rPr>
              <w:t>long</w:t>
            </w:r>
            <w:r w:rsidR="00171DD1">
              <w:rPr>
                <w:rFonts w:ascii="Arial" w:hAnsi="Arial" w:cs="Arial"/>
              </w:rPr>
              <w:t>-</w:t>
            </w:r>
            <w:r w:rsidRPr="00A10D6E">
              <w:rPr>
                <w:rFonts w:ascii="Arial" w:hAnsi="Arial" w:cs="Arial"/>
              </w:rPr>
              <w:t>end component</w:t>
            </w:r>
          </w:p>
          <w:p w14:paraId="5D50D8EF" w14:textId="77777777" w:rsidR="00A10D6E" w:rsidRPr="00A10D6E" w:rsidRDefault="00A10D6E" w:rsidP="00A10D6E">
            <w:pPr>
              <w:rPr>
                <w:rFonts w:ascii="Arial" w:hAnsi="Arial" w:cs="Arial"/>
              </w:rPr>
            </w:pPr>
            <w:r w:rsidRPr="00A10D6E">
              <w:rPr>
                <w:rFonts w:ascii="Arial" w:hAnsi="Arial" w:cs="Arial"/>
              </w:rPr>
              <w:t>data comes from Financial Industry Regulatory</w:t>
            </w:r>
          </w:p>
          <w:p w14:paraId="019F2B49" w14:textId="77777777" w:rsidR="00A10D6E" w:rsidRPr="00A10D6E" w:rsidRDefault="00A10D6E" w:rsidP="00A10D6E">
            <w:pPr>
              <w:rPr>
                <w:rFonts w:ascii="Arial" w:hAnsi="Arial" w:cs="Arial"/>
              </w:rPr>
            </w:pPr>
            <w:r w:rsidRPr="00A10D6E">
              <w:rPr>
                <w:rFonts w:ascii="Arial" w:hAnsi="Arial" w:cs="Arial"/>
              </w:rPr>
              <w:t>Authority (FINRA) Trade Reporting and</w:t>
            </w:r>
          </w:p>
          <w:p w14:paraId="524C368E" w14:textId="30FD12F1" w:rsidR="00B775E4" w:rsidRDefault="00A10D6E" w:rsidP="00B775E4">
            <w:pPr>
              <w:rPr>
                <w:rFonts w:ascii="Arial" w:hAnsi="Arial" w:cs="Arial"/>
              </w:rPr>
            </w:pPr>
            <w:r w:rsidRPr="00A10D6E">
              <w:rPr>
                <w:rFonts w:ascii="Arial" w:hAnsi="Arial" w:cs="Arial"/>
              </w:rPr>
              <w:t>Compliance Engine (TRACE).</w:t>
            </w:r>
            <w:r w:rsidR="003067FA">
              <w:rPr>
                <w:rFonts w:ascii="Arial" w:hAnsi="Arial" w:cs="Arial"/>
              </w:rPr>
              <w:t xml:space="preserve"> The</w:t>
            </w:r>
            <w:r w:rsidR="00CB63C5" w:rsidRPr="00CB63C5">
              <w:rPr>
                <w:rFonts w:ascii="Arial" w:hAnsi="Arial" w:cs="Arial"/>
              </w:rPr>
              <w:t xml:space="preserve"> short</w:t>
            </w:r>
            <w:r w:rsidR="00171DD1">
              <w:rPr>
                <w:rFonts w:ascii="Arial" w:hAnsi="Arial" w:cs="Arial"/>
              </w:rPr>
              <w:t>-</w:t>
            </w:r>
            <w:r w:rsidR="00CB63C5" w:rsidRPr="00CB63C5">
              <w:rPr>
                <w:rFonts w:ascii="Arial" w:hAnsi="Arial" w:cs="Arial"/>
              </w:rPr>
              <w:t>end component i</w:t>
            </w:r>
            <w:r w:rsidR="00391A6F">
              <w:rPr>
                <w:rFonts w:ascii="Arial" w:hAnsi="Arial" w:cs="Arial"/>
              </w:rPr>
              <w:t>s</w:t>
            </w:r>
            <w:r w:rsidR="00CB63C5" w:rsidRPr="00CB63C5">
              <w:rPr>
                <w:rFonts w:ascii="Arial" w:hAnsi="Arial" w:cs="Arial"/>
              </w:rPr>
              <w:t xml:space="preserve"> obtained from</w:t>
            </w:r>
            <w:r w:rsidR="003067FA">
              <w:rPr>
                <w:rFonts w:ascii="Arial" w:hAnsi="Arial" w:cs="Arial"/>
              </w:rPr>
              <w:t xml:space="preserve"> </w:t>
            </w:r>
            <w:r w:rsidR="00CB63C5" w:rsidRPr="00CB63C5">
              <w:rPr>
                <w:rFonts w:ascii="Arial" w:hAnsi="Arial" w:cs="Arial"/>
              </w:rPr>
              <w:t>Depository Trust &amp; Clearing Corporation (DTCC)</w:t>
            </w:r>
            <w:r w:rsidR="003067FA">
              <w:rPr>
                <w:rFonts w:ascii="Arial" w:hAnsi="Arial" w:cs="Arial"/>
              </w:rPr>
              <w:t xml:space="preserve"> </w:t>
            </w:r>
            <w:r w:rsidR="00CB63C5" w:rsidRPr="00CB63C5">
              <w:rPr>
                <w:rFonts w:ascii="Arial" w:hAnsi="Arial" w:cs="Arial"/>
              </w:rPr>
              <w:t>Money Market Kinetics. This provides a single,</w:t>
            </w:r>
            <w:r w:rsidR="003067FA">
              <w:rPr>
                <w:rFonts w:ascii="Arial" w:hAnsi="Arial" w:cs="Arial"/>
              </w:rPr>
              <w:t xml:space="preserve"> </w:t>
            </w:r>
            <w:r w:rsidR="00CB63C5" w:rsidRPr="00CB63C5">
              <w:rPr>
                <w:rFonts w:ascii="Arial" w:hAnsi="Arial" w:cs="Arial"/>
              </w:rPr>
              <w:t>daily feed of anonymized CP and CD secondary</w:t>
            </w:r>
            <w:r w:rsidR="003067FA">
              <w:rPr>
                <w:rFonts w:ascii="Arial" w:hAnsi="Arial" w:cs="Arial"/>
              </w:rPr>
              <w:t xml:space="preserve"> </w:t>
            </w:r>
            <w:r w:rsidR="00CB63C5" w:rsidRPr="00CB63C5">
              <w:rPr>
                <w:rFonts w:ascii="Arial" w:hAnsi="Arial" w:cs="Arial"/>
              </w:rPr>
              <w:t>settlement transactions data. No proprietary data is</w:t>
            </w:r>
            <w:r w:rsidR="00CB63C5">
              <w:t xml:space="preserve"> </w:t>
            </w:r>
            <w:r w:rsidR="00CB63C5" w:rsidRPr="00CB63C5">
              <w:rPr>
                <w:rFonts w:ascii="Arial" w:hAnsi="Arial" w:cs="Arial"/>
              </w:rPr>
              <w:t>used in the construction of AXI or FXI</w:t>
            </w:r>
            <w:r w:rsidR="00CB63C5">
              <w:rPr>
                <w:rFonts w:ascii="Arial" w:hAnsi="Arial" w:cs="Arial"/>
              </w:rPr>
              <w:t>.</w:t>
            </w:r>
            <w:r w:rsidR="00327AEE">
              <w:rPr>
                <w:rFonts w:ascii="Arial" w:hAnsi="Arial" w:cs="Arial"/>
              </w:rPr>
              <w:t xml:space="preserve"> </w:t>
            </w:r>
          </w:p>
          <w:p w14:paraId="50D5D7C7" w14:textId="77777777" w:rsidR="00A55AE7" w:rsidRDefault="00A55AE7" w:rsidP="00A65E20">
            <w:pPr>
              <w:rPr>
                <w:rFonts w:ascii="Arial" w:hAnsi="Arial" w:cs="Arial"/>
              </w:rPr>
            </w:pPr>
          </w:p>
          <w:p w14:paraId="36C3CBB4" w14:textId="3EE3944D" w:rsidR="00A55AE7" w:rsidRDefault="00171DD1" w:rsidP="00AC3E22">
            <w:pPr>
              <w:rPr>
                <w:rFonts w:ascii="Arial" w:hAnsi="Arial" w:cs="Arial"/>
              </w:rPr>
            </w:pPr>
            <w:r>
              <w:rPr>
                <w:rFonts w:ascii="Arial" w:hAnsi="Arial" w:cs="Arial"/>
              </w:rPr>
              <w:t>A</w:t>
            </w:r>
            <w:r w:rsidR="00A55AE7">
              <w:rPr>
                <w:rFonts w:ascii="Arial" w:hAnsi="Arial" w:cs="Arial"/>
              </w:rPr>
              <w:t xml:space="preserve"> </w:t>
            </w:r>
            <w:r w:rsidR="00A55AE7" w:rsidRPr="00A65E20">
              <w:rPr>
                <w:rFonts w:ascii="Arial" w:hAnsi="Arial" w:cs="Arial"/>
              </w:rPr>
              <w:t>one-month observation period was selected for</w:t>
            </w:r>
            <w:r w:rsidR="00A55AE7">
              <w:rPr>
                <w:rFonts w:ascii="Arial" w:hAnsi="Arial" w:cs="Arial"/>
              </w:rPr>
              <w:t xml:space="preserve"> </w:t>
            </w:r>
            <w:r w:rsidR="00A55AE7" w:rsidRPr="00A65E20">
              <w:rPr>
                <w:rFonts w:ascii="Arial" w:hAnsi="Arial" w:cs="Arial"/>
              </w:rPr>
              <w:t xml:space="preserve">implementation </w:t>
            </w:r>
            <w:r w:rsidR="00391A6F">
              <w:rPr>
                <w:rFonts w:ascii="Arial" w:hAnsi="Arial" w:cs="Arial"/>
              </w:rPr>
              <w:t xml:space="preserve">of </w:t>
            </w:r>
            <w:r w:rsidR="00A55AE7" w:rsidRPr="00A65E20">
              <w:rPr>
                <w:rFonts w:ascii="Arial" w:hAnsi="Arial" w:cs="Arial"/>
              </w:rPr>
              <w:t>AXI</w:t>
            </w:r>
            <w:r w:rsidR="00A55AE7">
              <w:rPr>
                <w:rFonts w:ascii="Arial" w:hAnsi="Arial" w:cs="Arial"/>
              </w:rPr>
              <w:t xml:space="preserve"> and FXI</w:t>
            </w:r>
            <w:r w:rsidR="00A55AE7" w:rsidRPr="00A65E20">
              <w:rPr>
                <w:rFonts w:ascii="Arial" w:hAnsi="Arial" w:cs="Arial"/>
              </w:rPr>
              <w:t>. Reliance on a</w:t>
            </w:r>
            <w:r w:rsidR="00A55AE7">
              <w:rPr>
                <w:rFonts w:ascii="Arial" w:hAnsi="Arial" w:cs="Arial"/>
              </w:rPr>
              <w:t xml:space="preserve"> </w:t>
            </w:r>
            <w:r w:rsidR="00A55AE7" w:rsidRPr="00A65E20">
              <w:rPr>
                <w:rFonts w:ascii="Arial" w:hAnsi="Arial" w:cs="Arial"/>
              </w:rPr>
              <w:t xml:space="preserve">smaller </w:t>
            </w:r>
            <w:r w:rsidR="00AC3E22" w:rsidRPr="00A65E20">
              <w:rPr>
                <w:rFonts w:ascii="Arial" w:hAnsi="Arial" w:cs="Arial"/>
              </w:rPr>
              <w:t xml:space="preserve">observation period </w:t>
            </w:r>
            <w:r w:rsidR="00A55AE7" w:rsidRPr="00A65E20">
              <w:rPr>
                <w:rFonts w:ascii="Arial" w:hAnsi="Arial" w:cs="Arial"/>
              </w:rPr>
              <w:t>would produce a more volatile</w:t>
            </w:r>
            <w:r w:rsidR="00AC3E22">
              <w:rPr>
                <w:rFonts w:ascii="Arial" w:hAnsi="Arial" w:cs="Arial"/>
              </w:rPr>
              <w:t xml:space="preserve"> </w:t>
            </w:r>
            <w:r w:rsidR="00A55AE7" w:rsidRPr="00A65E20">
              <w:rPr>
                <w:rFonts w:ascii="Arial" w:hAnsi="Arial" w:cs="Arial"/>
              </w:rPr>
              <w:t>index with greater susceptibility to manipulation.</w:t>
            </w:r>
            <w:r w:rsidR="00A55AE7">
              <w:rPr>
                <w:rFonts w:ascii="Arial" w:hAnsi="Arial" w:cs="Arial"/>
              </w:rPr>
              <w:t xml:space="preserve"> Moreover,</w:t>
            </w:r>
            <w:r w:rsidR="00A55AE7" w:rsidRPr="00A65E20">
              <w:rPr>
                <w:rFonts w:ascii="Arial" w:hAnsi="Arial" w:cs="Arial"/>
              </w:rPr>
              <w:t xml:space="preserve"> </w:t>
            </w:r>
            <w:r w:rsidR="00A55AE7">
              <w:rPr>
                <w:rFonts w:ascii="Arial" w:hAnsi="Arial" w:cs="Arial"/>
              </w:rPr>
              <w:t>at any point in time</w:t>
            </w:r>
            <w:r>
              <w:rPr>
                <w:rFonts w:ascii="Arial" w:hAnsi="Arial" w:cs="Arial"/>
              </w:rPr>
              <w:t>,</w:t>
            </w:r>
            <w:r w:rsidR="00A55AE7">
              <w:rPr>
                <w:rFonts w:ascii="Arial" w:hAnsi="Arial" w:cs="Arial"/>
              </w:rPr>
              <w:t xml:space="preserve"> a </w:t>
            </w:r>
            <w:r w:rsidR="00A55AE7" w:rsidRPr="00A65E20">
              <w:rPr>
                <w:rFonts w:ascii="Arial" w:hAnsi="Arial" w:cs="Arial"/>
              </w:rPr>
              <w:t>bank’s recent cost of funds is determined by the</w:t>
            </w:r>
            <w:r w:rsidR="00A55AE7">
              <w:rPr>
                <w:rFonts w:ascii="Arial" w:hAnsi="Arial" w:cs="Arial"/>
              </w:rPr>
              <w:t xml:space="preserve"> </w:t>
            </w:r>
            <w:r w:rsidR="00A55AE7" w:rsidRPr="00A65E20">
              <w:rPr>
                <w:rFonts w:ascii="Arial" w:hAnsi="Arial" w:cs="Arial"/>
              </w:rPr>
              <w:t>yields of its recently issued stack of liabilities, most</w:t>
            </w:r>
            <w:r w:rsidR="00A55AE7">
              <w:rPr>
                <w:rFonts w:ascii="Arial" w:hAnsi="Arial" w:cs="Arial"/>
              </w:rPr>
              <w:t xml:space="preserve"> </w:t>
            </w:r>
            <w:r w:rsidR="00A55AE7" w:rsidRPr="00A65E20">
              <w:rPr>
                <w:rFonts w:ascii="Arial" w:hAnsi="Arial" w:cs="Arial"/>
              </w:rPr>
              <w:t>of which are issued on a range of past date</w:t>
            </w:r>
            <w:r w:rsidR="00156E0F">
              <w:rPr>
                <w:rFonts w:ascii="Arial" w:hAnsi="Arial" w:cs="Arial"/>
              </w:rPr>
              <w:t xml:space="preserve">s </w:t>
            </w:r>
            <w:hyperlink r:id="rId10" w:history="1">
              <w:r w:rsidR="00A55AE7" w:rsidRPr="00156E0F">
                <w:rPr>
                  <w:rStyle w:val="Hyperlink"/>
                  <w:rFonts w:ascii="Arial" w:hAnsi="Arial" w:cs="Arial"/>
                </w:rPr>
                <w:t xml:space="preserve">(Berndt, </w:t>
              </w:r>
              <w:proofErr w:type="spellStart"/>
              <w:r w:rsidR="00A55AE7" w:rsidRPr="00156E0F">
                <w:rPr>
                  <w:rStyle w:val="Hyperlink"/>
                  <w:rFonts w:ascii="Arial" w:hAnsi="Arial" w:cs="Arial"/>
                </w:rPr>
                <w:t>Duffie</w:t>
              </w:r>
              <w:proofErr w:type="spellEnd"/>
              <w:r w:rsidR="00A55AE7" w:rsidRPr="00156E0F">
                <w:rPr>
                  <w:rStyle w:val="Hyperlink"/>
                  <w:rFonts w:ascii="Arial" w:hAnsi="Arial" w:cs="Arial"/>
                </w:rPr>
                <w:t>, Zhu, 2020)</w:t>
              </w:r>
            </w:hyperlink>
            <w:r w:rsidR="00A55AE7" w:rsidRPr="00A65E20">
              <w:rPr>
                <w:rFonts w:ascii="Arial" w:hAnsi="Arial" w:cs="Arial"/>
              </w:rPr>
              <w:t>.</w:t>
            </w:r>
          </w:p>
        </w:tc>
      </w:tr>
      <w:tr w:rsidR="00B52F85" w14:paraId="125238C7" w14:textId="77777777" w:rsidTr="00F14734">
        <w:trPr>
          <w:trHeight w:val="932"/>
        </w:trPr>
        <w:tc>
          <w:tcPr>
            <w:tcW w:w="746" w:type="dxa"/>
            <w:shd w:val="clear" w:color="auto" w:fill="5979A7"/>
            <w:tcMar>
              <w:top w:w="115" w:type="dxa"/>
              <w:left w:w="115" w:type="dxa"/>
              <w:bottom w:w="115" w:type="dxa"/>
              <w:right w:w="115" w:type="dxa"/>
            </w:tcMar>
            <w:vAlign w:val="center"/>
          </w:tcPr>
          <w:p w14:paraId="62B53BE6" w14:textId="77777777" w:rsidR="00B52F85" w:rsidRPr="003A6C1D" w:rsidRDefault="00B52F85" w:rsidP="003A6C1D">
            <w:pPr>
              <w:jc w:val="center"/>
              <w:rPr>
                <w:rFonts w:ascii="Arial" w:hAnsi="Arial" w:cs="Arial"/>
                <w:color w:val="FFFFFF" w:themeColor="background1"/>
              </w:rPr>
            </w:pPr>
            <w:r w:rsidRPr="003A6C1D">
              <w:rPr>
                <w:rFonts w:ascii="Arial" w:hAnsi="Arial" w:cs="Arial"/>
                <w:color w:val="FFFFFF" w:themeColor="background1"/>
              </w:rPr>
              <w:t>5</w:t>
            </w:r>
          </w:p>
        </w:tc>
        <w:tc>
          <w:tcPr>
            <w:tcW w:w="3294" w:type="dxa"/>
            <w:shd w:val="clear" w:color="auto" w:fill="E7E6E6" w:themeFill="background2"/>
            <w:tcMar>
              <w:top w:w="115" w:type="dxa"/>
              <w:left w:w="115" w:type="dxa"/>
              <w:bottom w:w="115" w:type="dxa"/>
              <w:right w:w="115" w:type="dxa"/>
            </w:tcMar>
            <w:vAlign w:val="center"/>
          </w:tcPr>
          <w:p w14:paraId="5DC7CBA2" w14:textId="77777777" w:rsidR="00B52F85" w:rsidRDefault="00B52F85" w:rsidP="00ED73C2">
            <w:pPr>
              <w:rPr>
                <w:rFonts w:ascii="Arial" w:hAnsi="Arial" w:cs="Arial"/>
              </w:rPr>
            </w:pPr>
            <w:r w:rsidRPr="00ED73C2">
              <w:rPr>
                <w:rFonts w:ascii="Arial" w:hAnsi="Arial" w:cs="Arial"/>
              </w:rPr>
              <w:t>Are vulnerable to potential structural market shifts, such as from potential future money market</w:t>
            </w:r>
            <w:r>
              <w:rPr>
                <w:rFonts w:ascii="Arial" w:hAnsi="Arial" w:cs="Arial"/>
              </w:rPr>
              <w:t xml:space="preserve"> </w:t>
            </w:r>
            <w:r w:rsidRPr="00ED73C2">
              <w:rPr>
                <w:rFonts w:ascii="Arial" w:hAnsi="Arial" w:cs="Arial"/>
              </w:rPr>
              <w:t>fund reforms</w:t>
            </w:r>
            <w:r w:rsidR="00CE6C14">
              <w:rPr>
                <w:rFonts w:ascii="Arial" w:hAnsi="Arial" w:cs="Arial"/>
              </w:rPr>
              <w:t xml:space="preserve"> </w:t>
            </w:r>
          </w:p>
        </w:tc>
        <w:tc>
          <w:tcPr>
            <w:tcW w:w="5835" w:type="dxa"/>
            <w:gridSpan w:val="2"/>
            <w:shd w:val="clear" w:color="auto" w:fill="E7E6E6" w:themeFill="background2"/>
            <w:tcMar>
              <w:top w:w="115" w:type="dxa"/>
              <w:left w:w="115" w:type="dxa"/>
              <w:bottom w:w="115" w:type="dxa"/>
              <w:right w:w="115" w:type="dxa"/>
            </w:tcMar>
            <w:vAlign w:val="center"/>
          </w:tcPr>
          <w:p w14:paraId="54DBE0F7" w14:textId="77777777" w:rsidR="00B52F85" w:rsidRDefault="00B52F85" w:rsidP="003A6C1D">
            <w:pPr>
              <w:rPr>
                <w:rFonts w:ascii="Arial" w:hAnsi="Arial" w:cs="Arial"/>
              </w:rPr>
            </w:pPr>
            <w:r w:rsidRPr="00B52F85">
              <w:rPr>
                <w:rFonts w:ascii="Arial" w:hAnsi="Arial" w:cs="Arial"/>
              </w:rPr>
              <w:t>AXI</w:t>
            </w:r>
            <w:r>
              <w:rPr>
                <w:rFonts w:ascii="Arial" w:hAnsi="Arial" w:cs="Arial"/>
              </w:rPr>
              <w:t xml:space="preserve"> and FXI </w:t>
            </w:r>
            <w:r w:rsidRPr="00B52F85">
              <w:rPr>
                <w:rFonts w:ascii="Arial" w:hAnsi="Arial" w:cs="Arial"/>
              </w:rPr>
              <w:t>automatically adapt to changes in funding composition</w:t>
            </w:r>
            <w:r w:rsidR="002931EA">
              <w:rPr>
                <w:rFonts w:ascii="Arial" w:hAnsi="Arial" w:cs="Arial"/>
              </w:rPr>
              <w:t xml:space="preserve"> for banks (AXI) and the broader United States economy (FXI)</w:t>
            </w:r>
            <w:r w:rsidR="002C2E30">
              <w:rPr>
                <w:rFonts w:ascii="Arial" w:hAnsi="Arial" w:cs="Arial"/>
              </w:rPr>
              <w:t>.</w:t>
            </w:r>
            <w:r w:rsidRPr="00B52F85">
              <w:rPr>
                <w:rFonts w:ascii="Arial" w:hAnsi="Arial" w:cs="Arial"/>
              </w:rPr>
              <w:t xml:space="preserve"> </w:t>
            </w:r>
            <w:r w:rsidR="005B11D2">
              <w:rPr>
                <w:rFonts w:ascii="Arial" w:hAnsi="Arial" w:cs="Arial"/>
              </w:rPr>
              <w:t xml:space="preserve">The </w:t>
            </w:r>
            <w:r w:rsidR="006E4C41">
              <w:rPr>
                <w:rFonts w:ascii="Arial" w:hAnsi="Arial" w:cs="Arial"/>
              </w:rPr>
              <w:t>benchmarks</w:t>
            </w:r>
            <w:r w:rsidRPr="00B52F85">
              <w:rPr>
                <w:rFonts w:ascii="Arial" w:hAnsi="Arial" w:cs="Arial"/>
              </w:rPr>
              <w:t xml:space="preserve"> were designed to maintain their hedge effectiveness and robustness over time and can be reliably computed in all economic </w:t>
            </w:r>
            <w:r w:rsidRPr="00B52F85">
              <w:rPr>
                <w:rFonts w:ascii="Arial" w:hAnsi="Arial" w:cs="Arial"/>
              </w:rPr>
              <w:lastRenderedPageBreak/>
              <w:t xml:space="preserve">conditions, including in times of market stress. </w:t>
            </w:r>
            <w:r w:rsidR="0071604F">
              <w:rPr>
                <w:rFonts w:ascii="Arial" w:hAnsi="Arial" w:cs="Arial"/>
              </w:rPr>
              <w:t>I</w:t>
            </w:r>
            <w:r w:rsidR="00AA38C3">
              <w:rPr>
                <w:rFonts w:ascii="Arial" w:hAnsi="Arial" w:cs="Arial"/>
              </w:rPr>
              <w:t xml:space="preserve">f for example, </w:t>
            </w:r>
            <w:r w:rsidR="00AA38C3" w:rsidRPr="00ED73C2">
              <w:rPr>
                <w:rFonts w:ascii="Arial" w:hAnsi="Arial" w:cs="Arial"/>
              </w:rPr>
              <w:t>money market</w:t>
            </w:r>
            <w:r w:rsidR="00AA38C3">
              <w:rPr>
                <w:rFonts w:ascii="Arial" w:hAnsi="Arial" w:cs="Arial"/>
              </w:rPr>
              <w:t xml:space="preserve"> </w:t>
            </w:r>
            <w:r w:rsidR="00AA38C3" w:rsidRPr="00ED73C2">
              <w:rPr>
                <w:rFonts w:ascii="Arial" w:hAnsi="Arial" w:cs="Arial"/>
              </w:rPr>
              <w:t>fund reforms</w:t>
            </w:r>
            <w:r w:rsidR="00AA38C3">
              <w:rPr>
                <w:rFonts w:ascii="Arial" w:hAnsi="Arial" w:cs="Arial"/>
              </w:rPr>
              <w:t xml:space="preserve"> or Basel III implementation resulted in banks shifting the</w:t>
            </w:r>
            <w:r w:rsidR="008A3F12">
              <w:rPr>
                <w:rFonts w:ascii="Arial" w:hAnsi="Arial" w:cs="Arial"/>
              </w:rPr>
              <w:t xml:space="preserve"> maturity of</w:t>
            </w:r>
            <w:r w:rsidR="00AA38C3">
              <w:rPr>
                <w:rFonts w:ascii="Arial" w:hAnsi="Arial" w:cs="Arial"/>
              </w:rPr>
              <w:t xml:space="preserve"> </w:t>
            </w:r>
            <w:r w:rsidR="008A3F12">
              <w:rPr>
                <w:rFonts w:ascii="Arial" w:hAnsi="Arial" w:cs="Arial"/>
              </w:rPr>
              <w:t xml:space="preserve">volume weighted funding, AXI and FXI would </w:t>
            </w:r>
            <w:r w:rsidR="00CE6C14">
              <w:rPr>
                <w:rFonts w:ascii="Arial" w:hAnsi="Arial" w:cs="Arial"/>
              </w:rPr>
              <w:t>automatically</w:t>
            </w:r>
            <w:r w:rsidR="00DE3A8C">
              <w:rPr>
                <w:rFonts w:ascii="Arial" w:hAnsi="Arial" w:cs="Arial"/>
              </w:rPr>
              <w:t xml:space="preserve"> </w:t>
            </w:r>
            <w:r w:rsidR="000653D4">
              <w:rPr>
                <w:rFonts w:ascii="Arial" w:hAnsi="Arial" w:cs="Arial"/>
              </w:rPr>
              <w:t>weight</w:t>
            </w:r>
            <w:r w:rsidR="00DE3A8C">
              <w:rPr>
                <w:rFonts w:ascii="Arial" w:hAnsi="Arial" w:cs="Arial"/>
              </w:rPr>
              <w:t xml:space="preserve"> that part of the </w:t>
            </w:r>
            <w:r w:rsidR="000653D4">
              <w:rPr>
                <w:rFonts w:ascii="Arial" w:hAnsi="Arial" w:cs="Arial"/>
              </w:rPr>
              <w:t>yield</w:t>
            </w:r>
            <w:r w:rsidR="00DE3A8C">
              <w:rPr>
                <w:rFonts w:ascii="Arial" w:hAnsi="Arial" w:cs="Arial"/>
              </w:rPr>
              <w:t xml:space="preserve"> curve. </w:t>
            </w:r>
          </w:p>
        </w:tc>
      </w:tr>
    </w:tbl>
    <w:p w14:paraId="7758E3FC" w14:textId="77777777" w:rsidR="007C2ADB" w:rsidRDefault="007C2ADB" w:rsidP="007C2ADB">
      <w:pPr>
        <w:spacing w:after="0" w:line="240" w:lineRule="auto"/>
        <w:rPr>
          <w:rStyle w:val="Hyperlink"/>
          <w:rFonts w:ascii="Arial" w:eastAsia="Times New Roman" w:hAnsi="Arial" w:cs="Arial"/>
          <w:color w:val="auto"/>
          <w:u w:val="none"/>
        </w:rPr>
      </w:pPr>
    </w:p>
    <w:p w14:paraId="282F3582" w14:textId="77777777" w:rsidR="00F8027C" w:rsidRDefault="00F8027C" w:rsidP="00F8027C">
      <w:pPr>
        <w:rPr>
          <w:rFonts w:ascii="Arial" w:eastAsia="Times New Roman" w:hAnsi="Arial" w:cs="Arial"/>
        </w:rPr>
      </w:pPr>
      <w:r w:rsidRPr="008E6A6B">
        <w:rPr>
          <w:rFonts w:ascii="Arial" w:eastAsia="Times New Roman" w:hAnsi="Arial" w:cs="Arial"/>
        </w:rPr>
        <w:t xml:space="preserve">USD-AXI and USD-FXI are available </w:t>
      </w:r>
      <w:r w:rsidRPr="00752A7D">
        <w:rPr>
          <w:rFonts w:ascii="Arial" w:eastAsia="Times New Roman" w:hAnsi="Arial" w:cs="Arial"/>
        </w:rPr>
        <w:t>only</w:t>
      </w:r>
      <w:r w:rsidRPr="008E6A6B">
        <w:rPr>
          <w:rFonts w:ascii="Arial" w:eastAsia="Times New Roman" w:hAnsi="Arial" w:cs="Arial"/>
        </w:rPr>
        <w:t xml:space="preserve"> as credit spread supplements to SOFR, and therefore leverage the robust foundation of SOFR.</w:t>
      </w:r>
      <w:r>
        <w:rPr>
          <w:rFonts w:ascii="Arial" w:eastAsia="Times New Roman" w:hAnsi="Arial" w:cs="Arial"/>
        </w:rPr>
        <w:t xml:space="preserve"> W</w:t>
      </w:r>
      <w:r w:rsidRPr="00185FA7">
        <w:rPr>
          <w:rFonts w:ascii="Arial" w:eastAsia="Times New Roman" w:hAnsi="Arial" w:cs="Arial"/>
        </w:rPr>
        <w:t>henever a loan is indexed to an across-the curve credit spread index, it would also reference SOFR. So, use of a credit spread index does not imply less frequent reference to SOFR.</w:t>
      </w:r>
    </w:p>
    <w:p w14:paraId="3624728D" w14:textId="77777777" w:rsidR="004D6C4B" w:rsidRDefault="00F8027C" w:rsidP="00F8027C">
      <w:pPr>
        <w:rPr>
          <w:rFonts w:ascii="Arial" w:eastAsia="Times New Roman" w:hAnsi="Arial" w:cs="Arial"/>
        </w:rPr>
      </w:pPr>
      <w:r>
        <w:rPr>
          <w:rFonts w:ascii="Arial" w:eastAsia="Times New Roman" w:hAnsi="Arial" w:cs="Arial"/>
        </w:rPr>
        <w:t xml:space="preserve">For questions, comments or to request additional information please complete the contact for at: </w:t>
      </w:r>
    </w:p>
    <w:p w14:paraId="2F4B5926" w14:textId="77777777" w:rsidR="00F8027C" w:rsidRDefault="00D56D06" w:rsidP="00F8027C">
      <w:pPr>
        <w:rPr>
          <w:rFonts w:ascii="Arial" w:eastAsia="Times New Roman" w:hAnsi="Arial" w:cs="Arial"/>
        </w:rPr>
      </w:pPr>
      <w:hyperlink r:id="rId11" w:history="1">
        <w:r w:rsidR="004D6C4B" w:rsidRPr="001445E5">
          <w:rPr>
            <w:rStyle w:val="Hyperlink"/>
            <w:rFonts w:ascii="Arial" w:eastAsia="Times New Roman" w:hAnsi="Arial" w:cs="Arial"/>
          </w:rPr>
          <w:t>https://www.invescosofracademyaxi.com/</w:t>
        </w:r>
      </w:hyperlink>
      <w:r w:rsidR="00F8027C">
        <w:rPr>
          <w:rFonts w:ascii="Arial" w:eastAsia="Times New Roman" w:hAnsi="Arial" w:cs="Arial"/>
        </w:rPr>
        <w:t xml:space="preserve"> </w:t>
      </w:r>
    </w:p>
    <w:p w14:paraId="78A7DD0B" w14:textId="77777777" w:rsidR="00524038" w:rsidRDefault="00524038" w:rsidP="00F8027C">
      <w:pPr>
        <w:rPr>
          <w:rFonts w:ascii="Arial" w:eastAsia="Times New Roman" w:hAnsi="Arial" w:cs="Arial"/>
        </w:rPr>
      </w:pPr>
      <w:r>
        <w:rPr>
          <w:rFonts w:ascii="Arial" w:eastAsia="Times New Roman" w:hAnsi="Arial" w:cs="Arial"/>
        </w:rPr>
        <w:t xml:space="preserve">For information about </w:t>
      </w:r>
      <w:r w:rsidR="004D6C4B">
        <w:rPr>
          <w:rFonts w:ascii="Arial" w:eastAsia="Times New Roman" w:hAnsi="Arial" w:cs="Arial"/>
        </w:rPr>
        <w:t>Invesco Indexing’s governance of benchmarks please visit:</w:t>
      </w:r>
    </w:p>
    <w:p w14:paraId="5AD7F1D2" w14:textId="77777777" w:rsidR="00524038" w:rsidRPr="00185FA7" w:rsidRDefault="00D56D06" w:rsidP="00F8027C">
      <w:pPr>
        <w:rPr>
          <w:rFonts w:ascii="Arial" w:eastAsia="Times New Roman" w:hAnsi="Arial" w:cs="Arial"/>
        </w:rPr>
      </w:pPr>
      <w:hyperlink r:id="rId12" w:history="1">
        <w:r w:rsidR="00524038" w:rsidRPr="001445E5">
          <w:rPr>
            <w:rStyle w:val="Hyperlink"/>
            <w:rFonts w:ascii="Arial" w:eastAsia="Times New Roman" w:hAnsi="Arial" w:cs="Arial"/>
          </w:rPr>
          <w:t>https://www.invescoindexing.com/en/governance</w:t>
        </w:r>
      </w:hyperlink>
      <w:r w:rsidR="00524038">
        <w:rPr>
          <w:rFonts w:ascii="Arial" w:eastAsia="Times New Roman" w:hAnsi="Arial" w:cs="Arial"/>
        </w:rPr>
        <w:t xml:space="preserve"> </w:t>
      </w:r>
    </w:p>
    <w:p w14:paraId="2964E4D3" w14:textId="77777777" w:rsidR="00A426F1" w:rsidRDefault="00A426F1" w:rsidP="007C2ADB">
      <w:pPr>
        <w:spacing w:after="0" w:line="240" w:lineRule="auto"/>
        <w:rPr>
          <w:rStyle w:val="Hyperlink"/>
          <w:rFonts w:ascii="Arial" w:eastAsia="Times New Roman" w:hAnsi="Arial" w:cs="Arial"/>
          <w:color w:val="auto"/>
          <w:u w:val="none"/>
        </w:rPr>
      </w:pPr>
    </w:p>
    <w:p w14:paraId="1EAB3CD5" w14:textId="77777777" w:rsidR="00A426F1" w:rsidRDefault="00A426F1" w:rsidP="007C2ADB">
      <w:pPr>
        <w:spacing w:after="0" w:line="240" w:lineRule="auto"/>
        <w:rPr>
          <w:rStyle w:val="Hyperlink"/>
          <w:rFonts w:ascii="Arial" w:eastAsia="Times New Roman" w:hAnsi="Arial" w:cs="Arial"/>
          <w:color w:val="auto"/>
          <w:u w:val="none"/>
        </w:rPr>
      </w:pPr>
    </w:p>
    <w:p w14:paraId="2A498A7A" w14:textId="77777777" w:rsidR="00A426F1" w:rsidRDefault="00A426F1" w:rsidP="007C2ADB">
      <w:pPr>
        <w:spacing w:after="0" w:line="240" w:lineRule="auto"/>
        <w:rPr>
          <w:rStyle w:val="Hyperlink"/>
          <w:rFonts w:ascii="Arial" w:eastAsia="Times New Roman" w:hAnsi="Arial" w:cs="Arial"/>
          <w:color w:val="auto"/>
          <w:u w:val="none"/>
        </w:rPr>
      </w:pPr>
    </w:p>
    <w:p w14:paraId="62522EA7" w14:textId="77777777" w:rsidR="00A426F1" w:rsidRDefault="00A426F1" w:rsidP="007C2ADB">
      <w:pPr>
        <w:spacing w:after="0" w:line="240" w:lineRule="auto"/>
        <w:rPr>
          <w:rStyle w:val="Hyperlink"/>
          <w:rFonts w:ascii="Arial" w:eastAsia="Times New Roman" w:hAnsi="Arial" w:cs="Arial"/>
          <w:color w:val="auto"/>
          <w:u w:val="none"/>
        </w:rPr>
      </w:pPr>
    </w:p>
    <w:p w14:paraId="05D4AFB0" w14:textId="77777777" w:rsidR="00A426F1" w:rsidRDefault="00A426F1" w:rsidP="007C2ADB">
      <w:pPr>
        <w:spacing w:after="0" w:line="240" w:lineRule="auto"/>
        <w:rPr>
          <w:rStyle w:val="Hyperlink"/>
          <w:rFonts w:ascii="Arial" w:eastAsia="Times New Roman" w:hAnsi="Arial" w:cs="Arial"/>
          <w:color w:val="auto"/>
          <w:u w:val="none"/>
        </w:rPr>
      </w:pPr>
    </w:p>
    <w:p w14:paraId="4B649F72" w14:textId="77777777" w:rsidR="00A426F1" w:rsidRDefault="00A426F1" w:rsidP="007C2ADB">
      <w:pPr>
        <w:spacing w:after="0" w:line="240" w:lineRule="auto"/>
        <w:rPr>
          <w:rStyle w:val="Hyperlink"/>
          <w:rFonts w:ascii="Arial" w:eastAsia="Times New Roman" w:hAnsi="Arial" w:cs="Arial"/>
          <w:color w:val="auto"/>
          <w:u w:val="none"/>
        </w:rPr>
      </w:pPr>
    </w:p>
    <w:p w14:paraId="6E45AE34" w14:textId="77777777" w:rsidR="00A426F1" w:rsidRDefault="00A426F1" w:rsidP="007C2ADB">
      <w:pPr>
        <w:spacing w:after="0" w:line="240" w:lineRule="auto"/>
        <w:rPr>
          <w:rStyle w:val="Hyperlink"/>
          <w:rFonts w:ascii="Arial" w:eastAsia="Times New Roman" w:hAnsi="Arial" w:cs="Arial"/>
          <w:color w:val="auto"/>
          <w:u w:val="none"/>
        </w:rPr>
      </w:pPr>
    </w:p>
    <w:p w14:paraId="02390046" w14:textId="77777777" w:rsidR="00A426F1" w:rsidRDefault="00A426F1" w:rsidP="007C2ADB">
      <w:pPr>
        <w:spacing w:after="0" w:line="240" w:lineRule="auto"/>
        <w:rPr>
          <w:rStyle w:val="Hyperlink"/>
          <w:rFonts w:ascii="Arial" w:eastAsia="Times New Roman" w:hAnsi="Arial" w:cs="Arial"/>
          <w:color w:val="auto"/>
          <w:u w:val="none"/>
        </w:rPr>
      </w:pPr>
    </w:p>
    <w:p w14:paraId="5FCC28D0" w14:textId="77777777" w:rsidR="00917F9A" w:rsidRDefault="00917F9A" w:rsidP="007C2ADB">
      <w:pPr>
        <w:spacing w:after="0" w:line="240" w:lineRule="auto"/>
        <w:rPr>
          <w:rStyle w:val="Hyperlink"/>
          <w:rFonts w:ascii="Arial" w:eastAsia="Times New Roman" w:hAnsi="Arial" w:cs="Arial"/>
          <w:color w:val="auto"/>
          <w:u w:val="none"/>
        </w:rPr>
      </w:pPr>
    </w:p>
    <w:p w14:paraId="364693EC" w14:textId="77777777" w:rsidR="00917F9A" w:rsidRDefault="00917F9A" w:rsidP="007C2ADB">
      <w:pPr>
        <w:spacing w:after="0" w:line="240" w:lineRule="auto"/>
        <w:rPr>
          <w:rStyle w:val="Hyperlink"/>
          <w:rFonts w:ascii="Arial" w:eastAsia="Times New Roman" w:hAnsi="Arial" w:cs="Arial"/>
          <w:color w:val="auto"/>
          <w:u w:val="none"/>
        </w:rPr>
      </w:pPr>
    </w:p>
    <w:p w14:paraId="4CA5A5D7" w14:textId="77777777" w:rsidR="00917F9A" w:rsidRDefault="00917F9A" w:rsidP="007C2ADB">
      <w:pPr>
        <w:spacing w:after="0" w:line="240" w:lineRule="auto"/>
        <w:rPr>
          <w:rStyle w:val="Hyperlink"/>
          <w:rFonts w:ascii="Arial" w:eastAsia="Times New Roman" w:hAnsi="Arial" w:cs="Arial"/>
          <w:color w:val="auto"/>
          <w:u w:val="none"/>
        </w:rPr>
      </w:pPr>
    </w:p>
    <w:p w14:paraId="09D81289" w14:textId="77777777" w:rsidR="00917F9A" w:rsidRDefault="00917F9A" w:rsidP="007C2ADB">
      <w:pPr>
        <w:spacing w:after="0" w:line="240" w:lineRule="auto"/>
        <w:rPr>
          <w:rStyle w:val="Hyperlink"/>
          <w:rFonts w:ascii="Arial" w:eastAsia="Times New Roman" w:hAnsi="Arial" w:cs="Arial"/>
          <w:color w:val="auto"/>
          <w:u w:val="none"/>
        </w:rPr>
      </w:pPr>
    </w:p>
    <w:p w14:paraId="414BB4B0" w14:textId="77777777" w:rsidR="00917F9A" w:rsidRDefault="00917F9A" w:rsidP="007C2ADB">
      <w:pPr>
        <w:spacing w:after="0" w:line="240" w:lineRule="auto"/>
        <w:rPr>
          <w:rStyle w:val="Hyperlink"/>
          <w:rFonts w:ascii="Arial" w:eastAsia="Times New Roman" w:hAnsi="Arial" w:cs="Arial"/>
          <w:color w:val="auto"/>
          <w:u w:val="none"/>
        </w:rPr>
      </w:pPr>
    </w:p>
    <w:p w14:paraId="105F9025" w14:textId="77777777" w:rsidR="00917F9A" w:rsidRDefault="00917F9A" w:rsidP="007C2ADB">
      <w:pPr>
        <w:spacing w:after="0" w:line="240" w:lineRule="auto"/>
        <w:rPr>
          <w:rStyle w:val="Hyperlink"/>
          <w:rFonts w:ascii="Arial" w:eastAsia="Times New Roman" w:hAnsi="Arial" w:cs="Arial"/>
          <w:color w:val="auto"/>
          <w:u w:val="none"/>
        </w:rPr>
      </w:pPr>
    </w:p>
    <w:p w14:paraId="3D298481" w14:textId="77777777" w:rsidR="00917F9A" w:rsidRDefault="00917F9A" w:rsidP="007C2ADB">
      <w:pPr>
        <w:spacing w:after="0" w:line="240" w:lineRule="auto"/>
        <w:rPr>
          <w:rStyle w:val="Hyperlink"/>
          <w:rFonts w:ascii="Arial" w:eastAsia="Times New Roman" w:hAnsi="Arial" w:cs="Arial"/>
          <w:color w:val="auto"/>
          <w:u w:val="none"/>
        </w:rPr>
      </w:pPr>
    </w:p>
    <w:p w14:paraId="7CCD1104" w14:textId="77777777" w:rsidR="00917F9A" w:rsidRDefault="00917F9A" w:rsidP="007C2ADB">
      <w:pPr>
        <w:spacing w:after="0" w:line="240" w:lineRule="auto"/>
        <w:rPr>
          <w:rStyle w:val="Hyperlink"/>
          <w:rFonts w:ascii="Arial" w:eastAsia="Times New Roman" w:hAnsi="Arial" w:cs="Arial"/>
          <w:color w:val="auto"/>
          <w:u w:val="none"/>
        </w:rPr>
      </w:pPr>
    </w:p>
    <w:p w14:paraId="6212C395" w14:textId="77777777" w:rsidR="00917F9A" w:rsidRDefault="00917F9A" w:rsidP="007C2ADB">
      <w:pPr>
        <w:spacing w:after="0" w:line="240" w:lineRule="auto"/>
        <w:rPr>
          <w:rStyle w:val="Hyperlink"/>
          <w:rFonts w:ascii="Arial" w:eastAsia="Times New Roman" w:hAnsi="Arial" w:cs="Arial"/>
          <w:color w:val="auto"/>
          <w:u w:val="none"/>
        </w:rPr>
      </w:pPr>
    </w:p>
    <w:p w14:paraId="04E61229" w14:textId="77777777" w:rsidR="00917F9A" w:rsidRDefault="00917F9A" w:rsidP="007C2ADB">
      <w:pPr>
        <w:spacing w:after="0" w:line="240" w:lineRule="auto"/>
        <w:rPr>
          <w:rStyle w:val="Hyperlink"/>
          <w:rFonts w:ascii="Arial" w:eastAsia="Times New Roman" w:hAnsi="Arial" w:cs="Arial"/>
          <w:color w:val="auto"/>
          <w:u w:val="none"/>
        </w:rPr>
      </w:pPr>
    </w:p>
    <w:p w14:paraId="09535902" w14:textId="77777777" w:rsidR="00917F9A" w:rsidRDefault="00917F9A" w:rsidP="007C2ADB">
      <w:pPr>
        <w:spacing w:after="0" w:line="240" w:lineRule="auto"/>
        <w:rPr>
          <w:rStyle w:val="Hyperlink"/>
          <w:rFonts w:ascii="Arial" w:eastAsia="Times New Roman" w:hAnsi="Arial" w:cs="Arial"/>
          <w:color w:val="auto"/>
          <w:u w:val="none"/>
        </w:rPr>
      </w:pPr>
    </w:p>
    <w:p w14:paraId="5D8A5859" w14:textId="77777777" w:rsidR="00917F9A" w:rsidRDefault="00917F9A" w:rsidP="007C2ADB">
      <w:pPr>
        <w:spacing w:after="0" w:line="240" w:lineRule="auto"/>
        <w:rPr>
          <w:rStyle w:val="Hyperlink"/>
          <w:rFonts w:ascii="Arial" w:eastAsia="Times New Roman" w:hAnsi="Arial" w:cs="Arial"/>
          <w:color w:val="auto"/>
          <w:u w:val="none"/>
        </w:rPr>
      </w:pPr>
    </w:p>
    <w:p w14:paraId="1F6C3822" w14:textId="77777777" w:rsidR="00917F9A" w:rsidRDefault="00917F9A" w:rsidP="007C2ADB">
      <w:pPr>
        <w:spacing w:after="0" w:line="240" w:lineRule="auto"/>
        <w:rPr>
          <w:rStyle w:val="Hyperlink"/>
          <w:rFonts w:ascii="Arial" w:eastAsia="Times New Roman" w:hAnsi="Arial" w:cs="Arial"/>
          <w:color w:val="auto"/>
          <w:u w:val="none"/>
        </w:rPr>
      </w:pPr>
    </w:p>
    <w:p w14:paraId="15B2361D" w14:textId="77777777" w:rsidR="00917F9A" w:rsidRDefault="00917F9A" w:rsidP="007C2ADB">
      <w:pPr>
        <w:spacing w:after="0" w:line="240" w:lineRule="auto"/>
        <w:rPr>
          <w:rStyle w:val="Hyperlink"/>
          <w:rFonts w:ascii="Arial" w:eastAsia="Times New Roman" w:hAnsi="Arial" w:cs="Arial"/>
          <w:color w:val="auto"/>
          <w:u w:val="none"/>
        </w:rPr>
      </w:pPr>
    </w:p>
    <w:p w14:paraId="70D2AE21" w14:textId="77777777" w:rsidR="00917F9A" w:rsidRDefault="00917F9A" w:rsidP="007C2ADB">
      <w:pPr>
        <w:spacing w:after="0" w:line="240" w:lineRule="auto"/>
        <w:rPr>
          <w:rStyle w:val="Hyperlink"/>
          <w:rFonts w:ascii="Arial" w:eastAsia="Times New Roman" w:hAnsi="Arial" w:cs="Arial"/>
          <w:color w:val="auto"/>
          <w:u w:val="none"/>
        </w:rPr>
      </w:pPr>
    </w:p>
    <w:p w14:paraId="5D6F1FA6" w14:textId="77777777" w:rsidR="00917F9A" w:rsidRDefault="00917F9A" w:rsidP="007C2ADB">
      <w:pPr>
        <w:spacing w:after="0" w:line="240" w:lineRule="auto"/>
        <w:rPr>
          <w:rStyle w:val="Hyperlink"/>
          <w:rFonts w:ascii="Arial" w:eastAsia="Times New Roman" w:hAnsi="Arial" w:cs="Arial"/>
          <w:color w:val="auto"/>
          <w:u w:val="none"/>
        </w:rPr>
      </w:pPr>
    </w:p>
    <w:p w14:paraId="0B1E004B" w14:textId="77777777" w:rsidR="00917F9A" w:rsidRDefault="00917F9A" w:rsidP="007C2ADB">
      <w:pPr>
        <w:spacing w:after="0" w:line="240" w:lineRule="auto"/>
        <w:rPr>
          <w:rStyle w:val="Hyperlink"/>
          <w:rFonts w:ascii="Arial" w:eastAsia="Times New Roman" w:hAnsi="Arial" w:cs="Arial"/>
          <w:color w:val="auto"/>
          <w:u w:val="none"/>
        </w:rPr>
      </w:pPr>
    </w:p>
    <w:p w14:paraId="18FE00AF" w14:textId="77777777" w:rsidR="00917F9A" w:rsidRDefault="00917F9A" w:rsidP="007C2ADB">
      <w:pPr>
        <w:spacing w:after="0" w:line="240" w:lineRule="auto"/>
        <w:rPr>
          <w:rStyle w:val="Hyperlink"/>
          <w:rFonts w:ascii="Arial" w:eastAsia="Times New Roman" w:hAnsi="Arial" w:cs="Arial"/>
          <w:color w:val="auto"/>
          <w:u w:val="none"/>
        </w:rPr>
      </w:pPr>
    </w:p>
    <w:p w14:paraId="636CFF55" w14:textId="77777777" w:rsidR="00917F9A" w:rsidRDefault="00917F9A" w:rsidP="007C2ADB">
      <w:pPr>
        <w:spacing w:after="0" w:line="240" w:lineRule="auto"/>
        <w:rPr>
          <w:rStyle w:val="Hyperlink"/>
          <w:rFonts w:ascii="Arial" w:eastAsia="Times New Roman" w:hAnsi="Arial" w:cs="Arial"/>
          <w:color w:val="auto"/>
          <w:u w:val="none"/>
        </w:rPr>
      </w:pPr>
    </w:p>
    <w:p w14:paraId="678C3DD6" w14:textId="77777777" w:rsidR="00917F9A" w:rsidRDefault="00917F9A" w:rsidP="007C2ADB">
      <w:pPr>
        <w:spacing w:after="0" w:line="240" w:lineRule="auto"/>
        <w:rPr>
          <w:rStyle w:val="Hyperlink"/>
          <w:rFonts w:ascii="Arial" w:eastAsia="Times New Roman" w:hAnsi="Arial" w:cs="Arial"/>
          <w:color w:val="auto"/>
          <w:u w:val="none"/>
        </w:rPr>
      </w:pPr>
    </w:p>
    <w:p w14:paraId="0A2D3268" w14:textId="77777777" w:rsidR="00917F9A" w:rsidRDefault="00917F9A" w:rsidP="007C2ADB">
      <w:pPr>
        <w:spacing w:after="0" w:line="240" w:lineRule="auto"/>
        <w:rPr>
          <w:rStyle w:val="Hyperlink"/>
          <w:rFonts w:ascii="Arial" w:eastAsia="Times New Roman" w:hAnsi="Arial" w:cs="Arial"/>
          <w:color w:val="auto"/>
          <w:u w:val="none"/>
        </w:rPr>
      </w:pPr>
    </w:p>
    <w:p w14:paraId="02F37655" w14:textId="77777777" w:rsidR="00CA3ADC" w:rsidRDefault="00CA3ADC" w:rsidP="007C2ADB">
      <w:pPr>
        <w:spacing w:after="0" w:line="240" w:lineRule="auto"/>
        <w:rPr>
          <w:rStyle w:val="Hyperlink"/>
          <w:rFonts w:ascii="Arial" w:eastAsia="Times New Roman" w:hAnsi="Arial" w:cs="Arial"/>
          <w:color w:val="auto"/>
          <w:u w:val="none"/>
        </w:rPr>
      </w:pPr>
    </w:p>
    <w:p w14:paraId="510F5758" w14:textId="77777777" w:rsidR="007C2ADB" w:rsidRDefault="007C2ADB" w:rsidP="007C2ADB">
      <w:pPr>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lastRenderedPageBreak/>
        <w:t>Disclaimer</w:t>
      </w:r>
      <w:r w:rsidR="00C121E0">
        <w:rPr>
          <w:rStyle w:val="Hyperlink"/>
          <w:rFonts w:ascii="Arial" w:eastAsia="Times New Roman" w:hAnsi="Arial" w:cs="Arial"/>
          <w:color w:val="auto"/>
          <w:u w:val="none"/>
        </w:rPr>
        <w:t>s</w:t>
      </w:r>
      <w:r>
        <w:rPr>
          <w:rStyle w:val="Hyperlink"/>
          <w:rFonts w:ascii="Arial" w:eastAsia="Times New Roman" w:hAnsi="Arial" w:cs="Arial"/>
          <w:color w:val="auto"/>
          <w:u w:val="none"/>
        </w:rPr>
        <w:t>:</w:t>
      </w:r>
    </w:p>
    <w:p w14:paraId="5496BB36" w14:textId="77777777" w:rsidR="00CC486A" w:rsidRDefault="00CC486A" w:rsidP="007C2ADB">
      <w:pPr>
        <w:spacing w:after="0" w:line="240" w:lineRule="auto"/>
        <w:rPr>
          <w:rStyle w:val="Hyperlink"/>
          <w:rFonts w:ascii="Arial" w:eastAsia="Times New Roman" w:hAnsi="Arial" w:cs="Arial"/>
          <w:color w:val="auto"/>
          <w:u w:val="none"/>
        </w:rPr>
      </w:pPr>
    </w:p>
    <w:p w14:paraId="3598FB35" w14:textId="77777777" w:rsidR="00C121E0" w:rsidRDefault="00CC486A" w:rsidP="007C2ADB">
      <w:pPr>
        <w:spacing w:after="0" w:line="240" w:lineRule="auto"/>
        <w:rPr>
          <w:rStyle w:val="Hyperlink"/>
          <w:rFonts w:ascii="Arial" w:eastAsia="Times New Roman" w:hAnsi="Arial" w:cs="Arial"/>
          <w:color w:val="auto"/>
          <w:u w:val="none"/>
        </w:rPr>
      </w:pPr>
      <w:r w:rsidRPr="00CC486A">
        <w:rPr>
          <w:rStyle w:val="Hyperlink"/>
          <w:rFonts w:ascii="Arial" w:eastAsia="Times New Roman" w:hAnsi="Arial" w:cs="Arial"/>
          <w:color w:val="auto"/>
          <w:u w:val="none"/>
        </w:rPr>
        <w:t>The views expressed in this article represent the personal views of the author and do not necessary represent the views of SOFR Academy, Invesco Indexing LLC</w:t>
      </w:r>
      <w:r w:rsidR="002D7A9E">
        <w:rPr>
          <w:rStyle w:val="Hyperlink"/>
          <w:rFonts w:ascii="Arial" w:eastAsia="Times New Roman" w:hAnsi="Arial" w:cs="Arial"/>
          <w:color w:val="auto"/>
          <w:u w:val="none"/>
        </w:rPr>
        <w:t xml:space="preserve"> </w:t>
      </w:r>
      <w:r w:rsidRPr="00CC486A">
        <w:rPr>
          <w:rStyle w:val="Hyperlink"/>
          <w:rFonts w:ascii="Arial" w:eastAsia="Times New Roman" w:hAnsi="Arial" w:cs="Arial"/>
          <w:color w:val="auto"/>
          <w:u w:val="none"/>
        </w:rPr>
        <w:t xml:space="preserve">or of USD-AXI or USD-FXI license holders. </w:t>
      </w:r>
    </w:p>
    <w:p w14:paraId="48E9EC02" w14:textId="77777777" w:rsidR="00C121E0" w:rsidRDefault="00C121E0" w:rsidP="007C2ADB">
      <w:pPr>
        <w:spacing w:after="0" w:line="240" w:lineRule="auto"/>
        <w:rPr>
          <w:rStyle w:val="Hyperlink"/>
          <w:rFonts w:ascii="Arial" w:eastAsia="Times New Roman" w:hAnsi="Arial" w:cs="Arial"/>
          <w:color w:val="auto"/>
          <w:u w:val="none"/>
        </w:rPr>
      </w:pPr>
    </w:p>
    <w:p w14:paraId="510FD4B4" w14:textId="77777777" w:rsidR="00C121E0" w:rsidRDefault="00CC486A" w:rsidP="007C2ADB">
      <w:pPr>
        <w:spacing w:after="0" w:line="240" w:lineRule="auto"/>
        <w:rPr>
          <w:rStyle w:val="Hyperlink"/>
          <w:rFonts w:ascii="Arial" w:eastAsia="Times New Roman" w:hAnsi="Arial" w:cs="Arial"/>
          <w:color w:val="auto"/>
          <w:u w:val="none"/>
        </w:rPr>
      </w:pPr>
      <w:r w:rsidRPr="00CC486A">
        <w:rPr>
          <w:rStyle w:val="Hyperlink"/>
          <w:rFonts w:ascii="Arial" w:eastAsia="Times New Roman" w:hAnsi="Arial" w:cs="Arial"/>
          <w:color w:val="auto"/>
          <w:u w:val="none"/>
        </w:rPr>
        <w:t xml:space="preserve">SOFR Academy supports SOFR, and near risk-free rates. We also support robustly defined and representative across-the-curve credit spread supplements such as AXI and FXI over time, which can be used in conjunction with risk-free rates. SOFR is published by the Federal Reserve Bank of New York (The New York Fed) and is used subject to The New York Fed Terms of Use. The New York Fed has no liability for your use of the data. AXI is not associated with, or endorsed or sponsored by, The New York Fed, or the Federal Reserve System. </w:t>
      </w:r>
    </w:p>
    <w:p w14:paraId="675FDE45" w14:textId="77777777" w:rsidR="00C121E0" w:rsidRDefault="00C121E0" w:rsidP="007C2ADB">
      <w:pPr>
        <w:spacing w:after="0" w:line="240" w:lineRule="auto"/>
        <w:rPr>
          <w:rStyle w:val="Hyperlink"/>
          <w:rFonts w:ascii="Arial" w:eastAsia="Times New Roman" w:hAnsi="Arial" w:cs="Arial"/>
          <w:color w:val="auto"/>
          <w:u w:val="none"/>
        </w:rPr>
      </w:pPr>
    </w:p>
    <w:p w14:paraId="63DEF7F2" w14:textId="757E9A14" w:rsidR="00C121E0" w:rsidRDefault="00CC486A" w:rsidP="007C2ADB">
      <w:pPr>
        <w:spacing w:after="0" w:line="240" w:lineRule="auto"/>
        <w:rPr>
          <w:rStyle w:val="Hyperlink"/>
          <w:rFonts w:ascii="Arial" w:eastAsia="Times New Roman" w:hAnsi="Arial" w:cs="Arial"/>
          <w:color w:val="auto"/>
          <w:u w:val="none"/>
        </w:rPr>
      </w:pPr>
      <w:r w:rsidRPr="00CC486A">
        <w:rPr>
          <w:rStyle w:val="Hyperlink"/>
          <w:rFonts w:ascii="Arial" w:eastAsia="Times New Roman" w:hAnsi="Arial" w:cs="Arial"/>
          <w:color w:val="auto"/>
          <w:u w:val="none"/>
        </w:rPr>
        <w:t xml:space="preserve">Darrell </w:t>
      </w:r>
      <w:proofErr w:type="spellStart"/>
      <w:r w:rsidRPr="00CC486A">
        <w:rPr>
          <w:rStyle w:val="Hyperlink"/>
          <w:rFonts w:ascii="Arial" w:eastAsia="Times New Roman" w:hAnsi="Arial" w:cs="Arial"/>
          <w:color w:val="auto"/>
          <w:u w:val="none"/>
        </w:rPr>
        <w:t>Duffie</w:t>
      </w:r>
      <w:proofErr w:type="spellEnd"/>
      <w:r w:rsidRPr="00CC486A">
        <w:rPr>
          <w:rStyle w:val="Hyperlink"/>
          <w:rFonts w:ascii="Arial" w:eastAsia="Times New Roman" w:hAnsi="Arial" w:cs="Arial"/>
          <w:color w:val="auto"/>
          <w:u w:val="none"/>
        </w:rPr>
        <w:t xml:space="preserve">, who is the Adams Distinguished Professor of Management and Professor of Finance at the </w:t>
      </w:r>
      <w:r w:rsidR="00391A6F">
        <w:rPr>
          <w:rStyle w:val="Hyperlink"/>
          <w:rFonts w:ascii="Arial" w:eastAsia="Times New Roman" w:hAnsi="Arial" w:cs="Arial"/>
          <w:color w:val="auto"/>
          <w:u w:val="none"/>
        </w:rPr>
        <w:t xml:space="preserve">Stanford </w:t>
      </w:r>
      <w:r w:rsidRPr="00CC486A">
        <w:rPr>
          <w:rStyle w:val="Hyperlink"/>
          <w:rFonts w:ascii="Arial" w:eastAsia="Times New Roman" w:hAnsi="Arial" w:cs="Arial"/>
          <w:color w:val="auto"/>
          <w:u w:val="none"/>
        </w:rPr>
        <w:t xml:space="preserve">Graduate School of Business and a co-author of the proposal for AXI, has no related compensation and is not affiliated with SOFR Academy. </w:t>
      </w:r>
    </w:p>
    <w:p w14:paraId="7BDAFAEB" w14:textId="77777777" w:rsidR="00E22E0C" w:rsidRDefault="00E22E0C" w:rsidP="00E22E0C">
      <w:pPr>
        <w:spacing w:after="0" w:line="240" w:lineRule="auto"/>
        <w:rPr>
          <w:rStyle w:val="Hyperlink"/>
          <w:rFonts w:ascii="Arial" w:eastAsia="Times New Roman" w:hAnsi="Arial" w:cs="Arial"/>
          <w:color w:val="auto"/>
          <w:u w:val="none"/>
        </w:rPr>
      </w:pPr>
    </w:p>
    <w:p w14:paraId="1AD8FAD1" w14:textId="77777777" w:rsidR="00C121E0" w:rsidRDefault="00CC486A" w:rsidP="007C2ADB">
      <w:pPr>
        <w:spacing w:after="0" w:line="240" w:lineRule="auto"/>
        <w:rPr>
          <w:rStyle w:val="Hyperlink"/>
          <w:rFonts w:ascii="Arial" w:eastAsia="Times New Roman" w:hAnsi="Arial" w:cs="Arial"/>
          <w:color w:val="auto"/>
          <w:u w:val="none"/>
        </w:rPr>
      </w:pPr>
      <w:r w:rsidRPr="00CC486A">
        <w:rPr>
          <w:rStyle w:val="Hyperlink"/>
          <w:rFonts w:ascii="Arial" w:eastAsia="Times New Roman" w:hAnsi="Arial" w:cs="Arial"/>
          <w:color w:val="auto"/>
          <w:u w:val="none"/>
        </w:rPr>
        <w:t xml:space="preserve">Invesco Indexing LLC is an indirect, wholly owned subsidiary of Invesco Ltd. Invesco Indexing LLC is legally, </w:t>
      </w:r>
      <w:proofErr w:type="gramStart"/>
      <w:r w:rsidRPr="00CC486A">
        <w:rPr>
          <w:rStyle w:val="Hyperlink"/>
          <w:rFonts w:ascii="Arial" w:eastAsia="Times New Roman" w:hAnsi="Arial" w:cs="Arial"/>
          <w:color w:val="auto"/>
          <w:u w:val="none"/>
        </w:rPr>
        <w:t>technologically</w:t>
      </w:r>
      <w:proofErr w:type="gramEnd"/>
      <w:r w:rsidRPr="00CC486A">
        <w:rPr>
          <w:rStyle w:val="Hyperlink"/>
          <w:rFonts w:ascii="Arial" w:eastAsia="Times New Roman" w:hAnsi="Arial" w:cs="Arial"/>
          <w:color w:val="auto"/>
          <w:u w:val="none"/>
        </w:rPr>
        <w:t xml:space="preserve"> and physically separate from other business units of Invesco, including the various global investment centers. </w:t>
      </w:r>
      <w:r w:rsidR="00CA7777">
        <w:rPr>
          <w:rStyle w:val="Hyperlink"/>
          <w:rFonts w:ascii="Arial" w:eastAsia="Times New Roman" w:hAnsi="Arial" w:cs="Arial"/>
          <w:color w:val="auto"/>
          <w:u w:val="none"/>
        </w:rPr>
        <w:t>Invesco is not affiliated with the SOFR Academy.</w:t>
      </w:r>
    </w:p>
    <w:p w14:paraId="111AD7B4" w14:textId="77777777" w:rsidR="00C121E0" w:rsidRDefault="00C121E0" w:rsidP="007C2ADB">
      <w:pPr>
        <w:spacing w:after="0" w:line="240" w:lineRule="auto"/>
        <w:rPr>
          <w:rStyle w:val="Hyperlink"/>
          <w:rFonts w:ascii="Arial" w:eastAsia="Times New Roman" w:hAnsi="Arial" w:cs="Arial"/>
          <w:color w:val="auto"/>
          <w:u w:val="none"/>
        </w:rPr>
      </w:pPr>
    </w:p>
    <w:p w14:paraId="4DD1DB92" w14:textId="77777777" w:rsidR="00C121E0" w:rsidRDefault="00CC486A" w:rsidP="007C2ADB">
      <w:pPr>
        <w:spacing w:after="0" w:line="240" w:lineRule="auto"/>
        <w:rPr>
          <w:rStyle w:val="Hyperlink"/>
          <w:rFonts w:ascii="Arial" w:eastAsia="Times New Roman" w:hAnsi="Arial" w:cs="Arial"/>
          <w:color w:val="auto"/>
          <w:u w:val="none"/>
        </w:rPr>
      </w:pPr>
      <w:r w:rsidRPr="00CC486A">
        <w:rPr>
          <w:rStyle w:val="Hyperlink"/>
          <w:rFonts w:ascii="Arial" w:eastAsia="Times New Roman" w:hAnsi="Arial" w:cs="Arial"/>
          <w:color w:val="auto"/>
          <w:u w:val="none"/>
        </w:rPr>
        <w:t xml:space="preserve">Any prospective user of USD-AXI or USD-FXI that would intend to also use CME Term SOFR in developing an interest rate for Cash Market Financial Products of OTC Derivative Products would require a license with CME Group for use of CME Term SOFR. SOFR Academy’s work is separate from but supportive of the Alternative Reference Rates Committee (ARRC). </w:t>
      </w:r>
    </w:p>
    <w:p w14:paraId="06E15F50" w14:textId="77777777" w:rsidR="00C121E0" w:rsidRDefault="00C121E0" w:rsidP="007C2ADB">
      <w:pPr>
        <w:spacing w:after="0" w:line="240" w:lineRule="auto"/>
        <w:rPr>
          <w:rStyle w:val="Hyperlink"/>
          <w:rFonts w:ascii="Arial" w:eastAsia="Times New Roman" w:hAnsi="Arial" w:cs="Arial"/>
          <w:color w:val="auto"/>
          <w:u w:val="none"/>
        </w:rPr>
      </w:pPr>
    </w:p>
    <w:p w14:paraId="0F12296D" w14:textId="77777777" w:rsidR="00CC486A" w:rsidRDefault="00CC486A" w:rsidP="007C2ADB">
      <w:pPr>
        <w:spacing w:after="0" w:line="240" w:lineRule="auto"/>
        <w:rPr>
          <w:rStyle w:val="Hyperlink"/>
          <w:rFonts w:ascii="Arial" w:eastAsia="Times New Roman" w:hAnsi="Arial" w:cs="Arial"/>
          <w:color w:val="auto"/>
          <w:u w:val="none"/>
        </w:rPr>
      </w:pPr>
      <w:r w:rsidRPr="00CC486A">
        <w:rPr>
          <w:rStyle w:val="Hyperlink"/>
          <w:rFonts w:ascii="Arial" w:eastAsia="Times New Roman" w:hAnsi="Arial" w:cs="Arial"/>
          <w:color w:val="auto"/>
          <w:u w:val="none"/>
        </w:rPr>
        <w:t>USD-AXI or USD-FXI are currently not benchmarks available for use in the United Kingdom or the European Union.</w:t>
      </w:r>
    </w:p>
    <w:p w14:paraId="46CBF843" w14:textId="77777777" w:rsidR="00CA3ADC" w:rsidRDefault="00CA3ADC" w:rsidP="00CA7777">
      <w:pPr>
        <w:spacing w:after="0" w:line="240" w:lineRule="auto"/>
        <w:rPr>
          <w:rStyle w:val="Hyperlink"/>
          <w:rFonts w:ascii="Arial" w:eastAsia="Times New Roman" w:hAnsi="Arial" w:cs="Arial"/>
          <w:color w:val="auto"/>
          <w:u w:val="none"/>
        </w:rPr>
      </w:pPr>
    </w:p>
    <w:p w14:paraId="1A000EFD" w14:textId="77777777" w:rsidR="00CA3ADC" w:rsidRDefault="00CA3ADC" w:rsidP="00CA7777">
      <w:pPr>
        <w:spacing w:after="0" w:line="240" w:lineRule="auto"/>
        <w:rPr>
          <w:rStyle w:val="Hyperlink"/>
          <w:rFonts w:ascii="Arial" w:eastAsia="Times New Roman" w:hAnsi="Arial" w:cs="Arial"/>
          <w:color w:val="auto"/>
          <w:u w:val="none"/>
        </w:rPr>
      </w:pPr>
    </w:p>
    <w:p w14:paraId="0F4BC1ED" w14:textId="77777777" w:rsidR="00CA3ADC" w:rsidRDefault="00CA3ADC" w:rsidP="00CA7777">
      <w:pPr>
        <w:spacing w:after="0" w:line="240" w:lineRule="auto"/>
        <w:rPr>
          <w:rStyle w:val="Hyperlink"/>
          <w:rFonts w:ascii="Arial" w:eastAsia="Times New Roman" w:hAnsi="Arial" w:cs="Arial"/>
          <w:color w:val="auto"/>
          <w:u w:val="none"/>
        </w:rPr>
      </w:pPr>
    </w:p>
    <w:p w14:paraId="685B558C" w14:textId="77777777" w:rsidR="00CA3ADC" w:rsidRDefault="00CA3ADC" w:rsidP="00CA7777">
      <w:pPr>
        <w:spacing w:after="0" w:line="240" w:lineRule="auto"/>
        <w:rPr>
          <w:rStyle w:val="Hyperlink"/>
          <w:rFonts w:ascii="Arial" w:eastAsia="Times New Roman" w:hAnsi="Arial" w:cs="Arial"/>
          <w:color w:val="auto"/>
          <w:u w:val="none"/>
        </w:rPr>
      </w:pPr>
    </w:p>
    <w:p w14:paraId="12EDBB65" w14:textId="77777777" w:rsidR="00CA3ADC" w:rsidRDefault="00CA3ADC" w:rsidP="00CA7777">
      <w:pPr>
        <w:spacing w:after="0" w:line="240" w:lineRule="auto"/>
        <w:rPr>
          <w:rStyle w:val="Hyperlink"/>
          <w:rFonts w:ascii="Arial" w:eastAsia="Times New Roman" w:hAnsi="Arial" w:cs="Arial"/>
          <w:color w:val="auto"/>
          <w:u w:val="none"/>
        </w:rPr>
      </w:pPr>
    </w:p>
    <w:p w14:paraId="453ADBDF" w14:textId="77777777" w:rsidR="00CA3ADC" w:rsidRDefault="00CA3ADC" w:rsidP="00CA7777">
      <w:pPr>
        <w:spacing w:after="0" w:line="240" w:lineRule="auto"/>
        <w:rPr>
          <w:rStyle w:val="Hyperlink"/>
          <w:rFonts w:ascii="Arial" w:eastAsia="Times New Roman" w:hAnsi="Arial" w:cs="Arial"/>
          <w:color w:val="auto"/>
          <w:u w:val="none"/>
        </w:rPr>
      </w:pPr>
    </w:p>
    <w:p w14:paraId="7E11CD1B" w14:textId="77777777" w:rsidR="00CA3ADC" w:rsidRDefault="00CA3ADC" w:rsidP="00CA7777">
      <w:pPr>
        <w:spacing w:after="0" w:line="240" w:lineRule="auto"/>
        <w:rPr>
          <w:rStyle w:val="Hyperlink"/>
          <w:rFonts w:ascii="Arial" w:eastAsia="Times New Roman" w:hAnsi="Arial" w:cs="Arial"/>
          <w:color w:val="auto"/>
          <w:u w:val="none"/>
        </w:rPr>
      </w:pPr>
    </w:p>
    <w:p w14:paraId="0BF66F83" w14:textId="77777777" w:rsidR="00CA3ADC" w:rsidRDefault="00CA3ADC" w:rsidP="00CA7777">
      <w:pPr>
        <w:spacing w:after="0" w:line="240" w:lineRule="auto"/>
        <w:rPr>
          <w:rStyle w:val="Hyperlink"/>
          <w:rFonts w:ascii="Arial" w:eastAsia="Times New Roman" w:hAnsi="Arial" w:cs="Arial"/>
          <w:color w:val="auto"/>
          <w:u w:val="none"/>
        </w:rPr>
      </w:pPr>
    </w:p>
    <w:p w14:paraId="08209AE2" w14:textId="77777777" w:rsidR="00CA3ADC" w:rsidRDefault="00CA3ADC" w:rsidP="00CA7777">
      <w:pPr>
        <w:spacing w:after="0" w:line="240" w:lineRule="auto"/>
        <w:rPr>
          <w:rStyle w:val="Hyperlink"/>
          <w:rFonts w:ascii="Arial" w:eastAsia="Times New Roman" w:hAnsi="Arial" w:cs="Arial"/>
          <w:color w:val="auto"/>
          <w:u w:val="none"/>
        </w:rPr>
      </w:pPr>
    </w:p>
    <w:p w14:paraId="65E27C9B" w14:textId="77777777" w:rsidR="00CA3ADC" w:rsidRDefault="00CA3ADC" w:rsidP="00CA7777">
      <w:pPr>
        <w:spacing w:after="0" w:line="240" w:lineRule="auto"/>
        <w:rPr>
          <w:rStyle w:val="Hyperlink"/>
          <w:rFonts w:ascii="Arial" w:eastAsia="Times New Roman" w:hAnsi="Arial" w:cs="Arial"/>
          <w:color w:val="auto"/>
          <w:u w:val="none"/>
        </w:rPr>
      </w:pPr>
    </w:p>
    <w:p w14:paraId="3CD34277" w14:textId="77777777" w:rsidR="00CA3ADC" w:rsidRDefault="00CA3ADC" w:rsidP="00CA7777">
      <w:pPr>
        <w:spacing w:after="0" w:line="240" w:lineRule="auto"/>
        <w:rPr>
          <w:rStyle w:val="Hyperlink"/>
          <w:rFonts w:ascii="Arial" w:eastAsia="Times New Roman" w:hAnsi="Arial" w:cs="Arial"/>
          <w:color w:val="auto"/>
          <w:u w:val="none"/>
        </w:rPr>
      </w:pPr>
    </w:p>
    <w:p w14:paraId="0FA9A840" w14:textId="77777777" w:rsidR="00CA3ADC" w:rsidRDefault="00CA3ADC" w:rsidP="00CA7777">
      <w:pPr>
        <w:spacing w:after="0" w:line="240" w:lineRule="auto"/>
        <w:rPr>
          <w:rStyle w:val="Hyperlink"/>
          <w:rFonts w:ascii="Arial" w:eastAsia="Times New Roman" w:hAnsi="Arial" w:cs="Arial"/>
          <w:color w:val="auto"/>
          <w:u w:val="none"/>
        </w:rPr>
      </w:pPr>
    </w:p>
    <w:p w14:paraId="7AA84AA1" w14:textId="77777777" w:rsidR="00CA3ADC" w:rsidRDefault="00CA3ADC" w:rsidP="00CA7777">
      <w:pPr>
        <w:spacing w:after="0" w:line="240" w:lineRule="auto"/>
        <w:rPr>
          <w:rStyle w:val="Hyperlink"/>
          <w:rFonts w:ascii="Arial" w:eastAsia="Times New Roman" w:hAnsi="Arial" w:cs="Arial"/>
          <w:color w:val="auto"/>
          <w:u w:val="none"/>
        </w:rPr>
      </w:pPr>
    </w:p>
    <w:p w14:paraId="25440936" w14:textId="77777777" w:rsidR="00CA3ADC" w:rsidRDefault="00CA3ADC" w:rsidP="00CA7777">
      <w:pPr>
        <w:spacing w:after="0" w:line="240" w:lineRule="auto"/>
        <w:rPr>
          <w:rStyle w:val="Hyperlink"/>
          <w:rFonts w:ascii="Arial" w:eastAsia="Times New Roman" w:hAnsi="Arial" w:cs="Arial"/>
          <w:color w:val="auto"/>
          <w:u w:val="none"/>
        </w:rPr>
      </w:pPr>
    </w:p>
    <w:p w14:paraId="3E2226DF" w14:textId="77777777" w:rsidR="00CA3ADC" w:rsidRDefault="00CA3ADC" w:rsidP="00CA7777">
      <w:pPr>
        <w:spacing w:after="0" w:line="240" w:lineRule="auto"/>
        <w:rPr>
          <w:rStyle w:val="Hyperlink"/>
          <w:rFonts w:ascii="Arial" w:eastAsia="Times New Roman" w:hAnsi="Arial" w:cs="Arial"/>
          <w:color w:val="auto"/>
          <w:u w:val="none"/>
        </w:rPr>
      </w:pPr>
    </w:p>
    <w:p w14:paraId="3F3A1313" w14:textId="77777777" w:rsidR="00CA3ADC" w:rsidRDefault="00CA3ADC" w:rsidP="00CA7777">
      <w:pPr>
        <w:spacing w:after="0" w:line="240" w:lineRule="auto"/>
        <w:rPr>
          <w:rStyle w:val="Hyperlink"/>
          <w:rFonts w:ascii="Arial" w:eastAsia="Times New Roman" w:hAnsi="Arial" w:cs="Arial"/>
          <w:color w:val="auto"/>
          <w:u w:val="none"/>
        </w:rPr>
      </w:pPr>
    </w:p>
    <w:p w14:paraId="31FAA67B" w14:textId="77777777" w:rsidR="00CA3ADC" w:rsidRDefault="00CA3ADC" w:rsidP="00CA7777">
      <w:pPr>
        <w:spacing w:after="0" w:line="240" w:lineRule="auto"/>
        <w:rPr>
          <w:rStyle w:val="Hyperlink"/>
          <w:rFonts w:ascii="Arial" w:eastAsia="Times New Roman" w:hAnsi="Arial" w:cs="Arial"/>
          <w:color w:val="auto"/>
          <w:u w:val="none"/>
        </w:rPr>
      </w:pPr>
    </w:p>
    <w:p w14:paraId="77D189B5" w14:textId="77777777" w:rsidR="00CA3ADC" w:rsidRDefault="00CA3ADC" w:rsidP="00CA7777">
      <w:pPr>
        <w:spacing w:after="0" w:line="240" w:lineRule="auto"/>
        <w:rPr>
          <w:rStyle w:val="Hyperlink"/>
          <w:rFonts w:ascii="Arial" w:eastAsia="Times New Roman" w:hAnsi="Arial" w:cs="Arial"/>
          <w:color w:val="auto"/>
          <w:u w:val="none"/>
        </w:rPr>
      </w:pPr>
    </w:p>
    <w:p w14:paraId="3C9CDA77" w14:textId="77777777" w:rsidR="00CA3ADC" w:rsidRDefault="00CA3ADC" w:rsidP="00CA7777">
      <w:pPr>
        <w:spacing w:after="0" w:line="240" w:lineRule="auto"/>
        <w:rPr>
          <w:rStyle w:val="Hyperlink"/>
          <w:rFonts w:ascii="Arial" w:eastAsia="Times New Roman" w:hAnsi="Arial" w:cs="Arial"/>
          <w:color w:val="auto"/>
          <w:u w:val="none"/>
        </w:rPr>
      </w:pPr>
    </w:p>
    <w:p w14:paraId="6875EEDB" w14:textId="77777777" w:rsidR="00CA3ADC" w:rsidRDefault="00CA3ADC" w:rsidP="00CA7777">
      <w:pPr>
        <w:spacing w:after="0" w:line="240" w:lineRule="auto"/>
        <w:rPr>
          <w:rStyle w:val="Hyperlink"/>
          <w:rFonts w:ascii="Arial" w:eastAsia="Times New Roman" w:hAnsi="Arial" w:cs="Arial"/>
          <w:color w:val="auto"/>
          <w:u w:val="none"/>
        </w:rPr>
      </w:pPr>
    </w:p>
    <w:p w14:paraId="0F59296B" w14:textId="77777777" w:rsidR="00CA7777" w:rsidRDefault="00CA7777" w:rsidP="00CA7777">
      <w:pPr>
        <w:spacing w:after="0" w:line="240" w:lineRule="auto"/>
        <w:rPr>
          <w:rStyle w:val="Hyperlink"/>
          <w:rFonts w:ascii="Arial" w:eastAsia="Times New Roman" w:hAnsi="Arial" w:cs="Arial"/>
          <w:color w:val="auto"/>
          <w:u w:val="none"/>
        </w:rPr>
      </w:pPr>
      <w:r w:rsidRPr="00E22E0C">
        <w:rPr>
          <w:rStyle w:val="Hyperlink"/>
          <w:rFonts w:ascii="Arial" w:eastAsia="Times New Roman" w:hAnsi="Arial" w:cs="Arial"/>
          <w:color w:val="auto"/>
          <w:u w:val="none"/>
        </w:rPr>
        <w:lastRenderedPageBreak/>
        <w:t>Important Information:</w:t>
      </w:r>
    </w:p>
    <w:p w14:paraId="6A96A9E3" w14:textId="77777777" w:rsidR="00CA3ADC" w:rsidRPr="00E22E0C" w:rsidRDefault="00CA3ADC" w:rsidP="00CA7777">
      <w:pPr>
        <w:spacing w:after="0" w:line="240" w:lineRule="auto"/>
        <w:rPr>
          <w:rStyle w:val="Hyperlink"/>
          <w:rFonts w:ascii="Arial" w:eastAsia="Times New Roman" w:hAnsi="Arial" w:cs="Arial"/>
          <w:color w:val="auto"/>
          <w:u w:val="none"/>
        </w:rPr>
      </w:pPr>
    </w:p>
    <w:p w14:paraId="31005643"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 xml:space="preserve">Indexes are unmanaged and it is not possible to invest directly in an index. Exposure to an asset class or trading strategy represented by an index is only available through investable instruments (if any) based on that index. Invesco Indexing LLC does not issue, sponsor, endorse, market, offer, </w:t>
      </w:r>
      <w:proofErr w:type="gramStart"/>
      <w:r w:rsidRPr="00C17CC3">
        <w:rPr>
          <w:rStyle w:val="Hyperlink"/>
          <w:rFonts w:ascii="Arial" w:eastAsia="Times New Roman" w:hAnsi="Arial" w:cs="Arial"/>
          <w:color w:val="auto"/>
          <w:sz w:val="18"/>
          <w:szCs w:val="18"/>
          <w:u w:val="none"/>
        </w:rPr>
        <w:t>review</w:t>
      </w:r>
      <w:proofErr w:type="gramEnd"/>
      <w:r w:rsidRPr="00C17CC3">
        <w:rPr>
          <w:rStyle w:val="Hyperlink"/>
          <w:rFonts w:ascii="Arial" w:eastAsia="Times New Roman" w:hAnsi="Arial" w:cs="Arial"/>
          <w:color w:val="auto"/>
          <w:sz w:val="18"/>
          <w:szCs w:val="18"/>
          <w:u w:val="none"/>
        </w:rPr>
        <w:t xml:space="preserve"> or otherwise express any opinion regarding any fund, derivative or other security, financial product or trading strategy that is based on, linked to or seeks to track the performance of any Invesco Indexing LLC index.</w:t>
      </w:r>
    </w:p>
    <w:p w14:paraId="74FA1849"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p>
    <w:p w14:paraId="3982A174"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Used with permission from SOFR Academy. While Invesco believes the information presented to be reliable and current, Invesco was not involved in writing the information and cannot guarantee its accuracy.  Further circulation, disclosure, or dissemination of all or any part of this material is prohibited. This information is provided for educational &amp; informational purposes only and is not an offer of investment advice or financial products.</w:t>
      </w:r>
    </w:p>
    <w:p w14:paraId="6378BF92"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p>
    <w:p w14:paraId="2A5A3B7A"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Financial Industry Regulatory Authority, FINRA, Trade Reporting and Compliance Engine, and TRACE are trademarks of Financial Industry Regulatory Authority, Inc. (FINRA), in the US and/or other countries. All rights reserved. See http://www.finra.org/industry/trace for further details regarding TRACE. AXI is not associated with, or endorsed or sponsored by, FINRA.</w:t>
      </w:r>
    </w:p>
    <w:p w14:paraId="62A87F53"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 xml:space="preserve"> </w:t>
      </w:r>
    </w:p>
    <w:p w14:paraId="75298258"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 xml:space="preserve">As between the Parties, SOFR Academy shall own the intellectual property (IP) associated with AXI, this includes but is not limited to the literary work, the algorithm / code, all trade secrets, know-how, trademarks, designs, copyright, </w:t>
      </w:r>
      <w:proofErr w:type="gramStart"/>
      <w:r w:rsidRPr="00C17CC3">
        <w:rPr>
          <w:rStyle w:val="Hyperlink"/>
          <w:rFonts w:ascii="Arial" w:eastAsia="Times New Roman" w:hAnsi="Arial" w:cs="Arial"/>
          <w:color w:val="auto"/>
          <w:sz w:val="18"/>
          <w:szCs w:val="18"/>
          <w:u w:val="none"/>
        </w:rPr>
        <w:t>whether or not</w:t>
      </w:r>
      <w:proofErr w:type="gramEnd"/>
      <w:r w:rsidRPr="00C17CC3">
        <w:rPr>
          <w:rStyle w:val="Hyperlink"/>
          <w:rFonts w:ascii="Arial" w:eastAsia="Times New Roman" w:hAnsi="Arial" w:cs="Arial"/>
          <w:color w:val="auto"/>
          <w:sz w:val="18"/>
          <w:szCs w:val="18"/>
          <w:u w:val="none"/>
        </w:rPr>
        <w:t xml:space="preserve"> registered or registrable or having to undergo any other process for grant, registration or the like.</w:t>
      </w:r>
    </w:p>
    <w:p w14:paraId="547A5916"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 xml:space="preserve"> </w:t>
      </w:r>
    </w:p>
    <w:p w14:paraId="74B88937"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Upon each update to this methodology, the most recent version shall be deemed to supersede the preceding version from the date of such update such that, in the event of any conflict between an earlier version of the methodology and the most recent version, the most recent version shall prevail.</w:t>
      </w:r>
    </w:p>
    <w:p w14:paraId="6674F638" w14:textId="77777777" w:rsidR="00CA7777" w:rsidRPr="00C17CC3" w:rsidRDefault="00CA7777" w:rsidP="00CA7777">
      <w:pPr>
        <w:spacing w:after="0" w:line="240" w:lineRule="auto"/>
        <w:rPr>
          <w:rStyle w:val="Hyperlink"/>
          <w:rFonts w:ascii="Arial" w:eastAsia="Times New Roman" w:hAnsi="Arial" w:cs="Arial"/>
          <w:color w:val="auto"/>
          <w:sz w:val="18"/>
          <w:szCs w:val="18"/>
          <w:u w:val="none"/>
        </w:rPr>
      </w:pPr>
    </w:p>
    <w:p w14:paraId="3016AA45" w14:textId="77777777" w:rsidR="003A6C1D" w:rsidRPr="00C17CC3" w:rsidRDefault="00CA7777" w:rsidP="00CA7777">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SONIA = Sterling Overnight Index Average</w:t>
      </w:r>
    </w:p>
    <w:p w14:paraId="708EF06E" w14:textId="77777777" w:rsidR="00CA7777" w:rsidRPr="00C17CC3" w:rsidRDefault="00CA7777" w:rsidP="00CA7777">
      <w:pPr>
        <w:spacing w:after="0" w:line="240" w:lineRule="auto"/>
        <w:rPr>
          <w:rFonts w:ascii="Arial" w:eastAsia="Times New Roman" w:hAnsi="Arial" w:cs="Arial"/>
          <w:sz w:val="18"/>
          <w:szCs w:val="18"/>
        </w:rPr>
      </w:pPr>
    </w:p>
    <w:p w14:paraId="36AAA439" w14:textId="77777777" w:rsidR="00E22E0C" w:rsidRPr="00C17CC3" w:rsidRDefault="00E22E0C" w:rsidP="00E22E0C">
      <w:pPr>
        <w:spacing w:after="0" w:line="240" w:lineRule="auto"/>
        <w:rPr>
          <w:rStyle w:val="Hyperlink"/>
          <w:rFonts w:ascii="Arial" w:eastAsia="Times New Roman" w:hAnsi="Arial" w:cs="Arial"/>
          <w:color w:val="auto"/>
          <w:sz w:val="18"/>
          <w:szCs w:val="18"/>
          <w:u w:val="none"/>
        </w:rPr>
      </w:pPr>
      <w:r w:rsidRPr="00C17CC3">
        <w:rPr>
          <w:rStyle w:val="Hyperlink"/>
          <w:rFonts w:ascii="Arial" w:eastAsia="Times New Roman" w:hAnsi="Arial" w:cs="Arial"/>
          <w:color w:val="auto"/>
          <w:sz w:val="18"/>
          <w:szCs w:val="18"/>
          <w:u w:val="none"/>
        </w:rPr>
        <w:t>NA2921131</w:t>
      </w:r>
    </w:p>
    <w:p w14:paraId="4B6AE6B6" w14:textId="77777777" w:rsidR="00E22E0C" w:rsidRDefault="00E22E0C"/>
    <w:p w14:paraId="5F21C34F" w14:textId="77777777" w:rsidR="003A6C1D" w:rsidRDefault="003A6C1D"/>
    <w:sectPr w:rsidR="003A6C1D" w:rsidSect="002C2E30">
      <w:headerReference w:type="default" r:id="rId13"/>
      <w:footerReference w:type="default" r:id="rId14"/>
      <w:footerReference w:type="first" r:id="rId1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6928" w14:textId="77777777" w:rsidR="00CB4FFC" w:rsidRDefault="00CB4FFC" w:rsidP="003A6C1D">
      <w:pPr>
        <w:spacing w:after="0" w:line="240" w:lineRule="auto"/>
      </w:pPr>
      <w:r>
        <w:separator/>
      </w:r>
    </w:p>
  </w:endnote>
  <w:endnote w:type="continuationSeparator" w:id="0">
    <w:p w14:paraId="54559096" w14:textId="77777777" w:rsidR="00CB4FFC" w:rsidRDefault="00CB4FFC" w:rsidP="003A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E63" w14:textId="77777777" w:rsidR="00B775E4" w:rsidRPr="002158E5" w:rsidRDefault="00B775E4">
    <w:pPr>
      <w:pStyle w:val="Footer"/>
      <w:jc w:val="center"/>
      <w:rPr>
        <w:rFonts w:ascii="Arial" w:hAnsi="Arial" w:cs="Arial"/>
        <w:sz w:val="18"/>
        <w:szCs w:val="18"/>
      </w:rPr>
    </w:pPr>
    <w:r w:rsidRPr="002158E5">
      <w:rPr>
        <w:rFonts w:ascii="Arial" w:hAnsi="Arial" w:cs="Arial"/>
        <w:sz w:val="18"/>
        <w:szCs w:val="18"/>
      </w:rPr>
      <w:t xml:space="preserve">SOFR.org | </w:t>
    </w:r>
    <w:r w:rsidR="00ED4592" w:rsidRPr="002158E5">
      <w:rPr>
        <w:rFonts w:ascii="Arial" w:hAnsi="Arial" w:cs="Arial"/>
        <w:sz w:val="18"/>
        <w:szCs w:val="18"/>
      </w:rPr>
      <w:t xml:space="preserve">Page </w:t>
    </w:r>
    <w:sdt>
      <w:sdtPr>
        <w:rPr>
          <w:rFonts w:ascii="Arial" w:hAnsi="Arial" w:cs="Arial"/>
          <w:sz w:val="18"/>
          <w:szCs w:val="18"/>
        </w:rPr>
        <w:id w:val="-1167400679"/>
        <w:docPartObj>
          <w:docPartGallery w:val="Page Numbers (Bottom of Page)"/>
          <w:docPartUnique/>
        </w:docPartObj>
      </w:sdtPr>
      <w:sdtEndPr>
        <w:rPr>
          <w:noProof/>
        </w:rPr>
      </w:sdtEndPr>
      <w:sdtContent>
        <w:r w:rsidRPr="002158E5">
          <w:rPr>
            <w:rFonts w:ascii="Arial" w:hAnsi="Arial" w:cs="Arial"/>
            <w:sz w:val="18"/>
            <w:szCs w:val="18"/>
          </w:rPr>
          <w:fldChar w:fldCharType="begin"/>
        </w:r>
        <w:r w:rsidRPr="002158E5">
          <w:rPr>
            <w:rFonts w:ascii="Arial" w:hAnsi="Arial" w:cs="Arial"/>
            <w:sz w:val="18"/>
            <w:szCs w:val="18"/>
          </w:rPr>
          <w:instrText xml:space="preserve"> PAGE   \* MERGEFORMAT </w:instrText>
        </w:r>
        <w:r w:rsidRPr="002158E5">
          <w:rPr>
            <w:rFonts w:ascii="Arial" w:hAnsi="Arial" w:cs="Arial"/>
            <w:sz w:val="18"/>
            <w:szCs w:val="18"/>
          </w:rPr>
          <w:fldChar w:fldCharType="separate"/>
        </w:r>
        <w:r w:rsidRPr="002158E5">
          <w:rPr>
            <w:rFonts w:ascii="Arial" w:hAnsi="Arial" w:cs="Arial"/>
            <w:noProof/>
            <w:sz w:val="18"/>
            <w:szCs w:val="18"/>
          </w:rPr>
          <w:t>2</w:t>
        </w:r>
        <w:r w:rsidRPr="002158E5">
          <w:rPr>
            <w:rFonts w:ascii="Arial" w:hAnsi="Arial" w:cs="Arial"/>
            <w:noProof/>
            <w:sz w:val="18"/>
            <w:szCs w:val="18"/>
          </w:rPr>
          <w:fldChar w:fldCharType="end"/>
        </w:r>
      </w:sdtContent>
    </w:sdt>
  </w:p>
  <w:p w14:paraId="3DCD15C5" w14:textId="77777777" w:rsidR="00B775E4" w:rsidRPr="00B775E4" w:rsidRDefault="00B775E4">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CD03" w14:textId="77777777" w:rsidR="00FC560F" w:rsidRDefault="00FC56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9CD2" w14:textId="77777777" w:rsidR="00CB4FFC" w:rsidRDefault="00CB4FFC" w:rsidP="003A6C1D">
      <w:pPr>
        <w:spacing w:after="0" w:line="240" w:lineRule="auto"/>
      </w:pPr>
      <w:r>
        <w:separator/>
      </w:r>
    </w:p>
  </w:footnote>
  <w:footnote w:type="continuationSeparator" w:id="0">
    <w:p w14:paraId="0AA1532D" w14:textId="77777777" w:rsidR="00CB4FFC" w:rsidRDefault="00CB4FFC" w:rsidP="003A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40AC" w14:textId="77777777" w:rsidR="003A6C1D" w:rsidRDefault="003A6C1D" w:rsidP="003A6C1D">
    <w:pPr>
      <w:pStyle w:val="Header"/>
      <w:jc w:val="right"/>
    </w:pPr>
    <w:r w:rsidRPr="0087094A">
      <w:rPr>
        <w:rFonts w:ascii="Arial" w:hAnsi="Arial" w:cs="Arial"/>
        <w:noProof/>
      </w:rPr>
      <w:drawing>
        <wp:inline distT="0" distB="0" distL="0" distR="0" wp14:anchorId="24D9B8A1" wp14:editId="4F8CC883">
          <wp:extent cx="1060739" cy="341906"/>
          <wp:effectExtent l="0" t="0" r="6350" b="1270"/>
          <wp:docPr id="6" name="Picture 6" descr="SOFR Academy logo ">
            <a:hlinkClick xmlns:a="http://schemas.openxmlformats.org/drawingml/2006/main" r:id="rId1"/>
            <a:extLst xmlns:a="http://schemas.openxmlformats.org/drawingml/2006/main">
              <a:ext uri="{FF2B5EF4-FFF2-40B4-BE49-F238E27FC236}">
                <a16:creationId xmlns:a16="http://schemas.microsoft.com/office/drawing/2014/main" id="{D30AF623-F544-48AF-AC67-89DB6B0C82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FR Academy logo ">
                    <a:hlinkClick r:id="rId1"/>
                    <a:extLst>
                      <a:ext uri="{FF2B5EF4-FFF2-40B4-BE49-F238E27FC236}">
                        <a16:creationId xmlns:a16="http://schemas.microsoft.com/office/drawing/2014/main" id="{D30AF623-F544-48AF-AC67-89DB6B0C8245}"/>
                      </a:ext>
                    </a:extLst>
                  </pic:cNvPr>
                  <pic:cNvPicPr>
                    <a:picLocks noChangeAspect="1"/>
                  </pic:cNvPicPr>
                </pic:nvPicPr>
                <pic:blipFill rotWithShape="1">
                  <a:blip r:embed="rId2">
                    <a:extLst>
                      <a:ext uri="{28A0092B-C50C-407E-A947-70E740481C1C}">
                        <a14:useLocalDpi xmlns:a14="http://schemas.microsoft.com/office/drawing/2010/main"/>
                      </a:ext>
                    </a:extLst>
                  </a:blip>
                  <a:srcRect l="-1" r="3048"/>
                  <a:stretch/>
                </pic:blipFill>
                <pic:spPr>
                  <a:xfrm>
                    <a:off x="0" y="0"/>
                    <a:ext cx="1142759" cy="368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53FB"/>
    <w:multiLevelType w:val="hybridMultilevel"/>
    <w:tmpl w:val="AE5EB6A4"/>
    <w:lvl w:ilvl="0" w:tplc="797CF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01AAF"/>
    <w:multiLevelType w:val="hybridMultilevel"/>
    <w:tmpl w:val="D0D2AD22"/>
    <w:lvl w:ilvl="0" w:tplc="797CFF02">
      <w:numFmt w:val="bullet"/>
      <w:lvlText w:val="-"/>
      <w:lvlJc w:val="left"/>
      <w:pPr>
        <w:ind w:left="720" w:hanging="360"/>
      </w:pPr>
      <w:rPr>
        <w:rFonts w:ascii="Arial" w:eastAsiaTheme="minorHAnsi"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6B33FA7"/>
    <w:multiLevelType w:val="hybridMultilevel"/>
    <w:tmpl w:val="10FC046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3BF2833"/>
    <w:multiLevelType w:val="hybridMultilevel"/>
    <w:tmpl w:val="7646EECA"/>
    <w:lvl w:ilvl="0" w:tplc="EE8279D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D0F091A"/>
    <w:multiLevelType w:val="hybridMultilevel"/>
    <w:tmpl w:val="1590A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4162662">
    <w:abstractNumId w:val="0"/>
  </w:num>
  <w:num w:numId="2" w16cid:durableId="1892106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3366873">
    <w:abstractNumId w:val="4"/>
  </w:num>
  <w:num w:numId="4" w16cid:durableId="1867791362">
    <w:abstractNumId w:val="1"/>
  </w:num>
  <w:num w:numId="5" w16cid:durableId="452017722">
    <w:abstractNumId w:val="2"/>
  </w:num>
  <w:num w:numId="6" w16cid:durableId="1454060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1D"/>
    <w:rsid w:val="000152E3"/>
    <w:rsid w:val="000653D4"/>
    <w:rsid w:val="00065E99"/>
    <w:rsid w:val="00090699"/>
    <w:rsid w:val="000961BF"/>
    <w:rsid w:val="000F0A9D"/>
    <w:rsid w:val="00107EE8"/>
    <w:rsid w:val="0012572B"/>
    <w:rsid w:val="00135D97"/>
    <w:rsid w:val="00156E0F"/>
    <w:rsid w:val="00157182"/>
    <w:rsid w:val="001576D7"/>
    <w:rsid w:val="00170196"/>
    <w:rsid w:val="00171DD1"/>
    <w:rsid w:val="00185FA7"/>
    <w:rsid w:val="001A03F9"/>
    <w:rsid w:val="001E3AD6"/>
    <w:rsid w:val="001F3357"/>
    <w:rsid w:val="002158E5"/>
    <w:rsid w:val="002450BA"/>
    <w:rsid w:val="002931EA"/>
    <w:rsid w:val="002A5061"/>
    <w:rsid w:val="002C2E30"/>
    <w:rsid w:val="002C3588"/>
    <w:rsid w:val="002D7A9E"/>
    <w:rsid w:val="003067FA"/>
    <w:rsid w:val="00327AEE"/>
    <w:rsid w:val="00341873"/>
    <w:rsid w:val="00352AF4"/>
    <w:rsid w:val="00354EFF"/>
    <w:rsid w:val="00391A6F"/>
    <w:rsid w:val="003A6C1D"/>
    <w:rsid w:val="003D09BA"/>
    <w:rsid w:val="003E3A8F"/>
    <w:rsid w:val="003F00C1"/>
    <w:rsid w:val="00454281"/>
    <w:rsid w:val="004645FE"/>
    <w:rsid w:val="004A0561"/>
    <w:rsid w:val="004C2046"/>
    <w:rsid w:val="004D6C4B"/>
    <w:rsid w:val="00524038"/>
    <w:rsid w:val="00526819"/>
    <w:rsid w:val="00526A60"/>
    <w:rsid w:val="00556C95"/>
    <w:rsid w:val="005628D5"/>
    <w:rsid w:val="005658E2"/>
    <w:rsid w:val="00592445"/>
    <w:rsid w:val="005B11D2"/>
    <w:rsid w:val="005C0B45"/>
    <w:rsid w:val="005E1134"/>
    <w:rsid w:val="0061228E"/>
    <w:rsid w:val="00632A7E"/>
    <w:rsid w:val="00643B7B"/>
    <w:rsid w:val="00657B2B"/>
    <w:rsid w:val="006A1A9A"/>
    <w:rsid w:val="006A3487"/>
    <w:rsid w:val="006B01A2"/>
    <w:rsid w:val="006D1BE6"/>
    <w:rsid w:val="006D3E8D"/>
    <w:rsid w:val="006E48CF"/>
    <w:rsid w:val="006E4C41"/>
    <w:rsid w:val="0070136B"/>
    <w:rsid w:val="0071604F"/>
    <w:rsid w:val="007234C5"/>
    <w:rsid w:val="00752A7D"/>
    <w:rsid w:val="007611E5"/>
    <w:rsid w:val="00763EE8"/>
    <w:rsid w:val="007917B3"/>
    <w:rsid w:val="007A5C19"/>
    <w:rsid w:val="007B7B1B"/>
    <w:rsid w:val="007C2ADB"/>
    <w:rsid w:val="007F2E47"/>
    <w:rsid w:val="00816DCE"/>
    <w:rsid w:val="008449D6"/>
    <w:rsid w:val="0086074E"/>
    <w:rsid w:val="008668A5"/>
    <w:rsid w:val="008A3F12"/>
    <w:rsid w:val="008D5C1B"/>
    <w:rsid w:val="008E5B66"/>
    <w:rsid w:val="008E6A6B"/>
    <w:rsid w:val="00902815"/>
    <w:rsid w:val="00905F80"/>
    <w:rsid w:val="00917F9A"/>
    <w:rsid w:val="009350B1"/>
    <w:rsid w:val="0099214C"/>
    <w:rsid w:val="009A37B5"/>
    <w:rsid w:val="00A10D6E"/>
    <w:rsid w:val="00A345E2"/>
    <w:rsid w:val="00A40386"/>
    <w:rsid w:val="00A426F1"/>
    <w:rsid w:val="00A55AE7"/>
    <w:rsid w:val="00A65E20"/>
    <w:rsid w:val="00AA15BE"/>
    <w:rsid w:val="00AA38C3"/>
    <w:rsid w:val="00AC02E4"/>
    <w:rsid w:val="00AC3E22"/>
    <w:rsid w:val="00AD578D"/>
    <w:rsid w:val="00B10510"/>
    <w:rsid w:val="00B15D3B"/>
    <w:rsid w:val="00B528B3"/>
    <w:rsid w:val="00B52F85"/>
    <w:rsid w:val="00B75A72"/>
    <w:rsid w:val="00B775E4"/>
    <w:rsid w:val="00B97E05"/>
    <w:rsid w:val="00BA40D7"/>
    <w:rsid w:val="00BA53DB"/>
    <w:rsid w:val="00BF6730"/>
    <w:rsid w:val="00C121E0"/>
    <w:rsid w:val="00C17CC3"/>
    <w:rsid w:val="00C46FD0"/>
    <w:rsid w:val="00C749B4"/>
    <w:rsid w:val="00C90E0C"/>
    <w:rsid w:val="00C97BE0"/>
    <w:rsid w:val="00CA3ADC"/>
    <w:rsid w:val="00CA7777"/>
    <w:rsid w:val="00CB4FFC"/>
    <w:rsid w:val="00CB63C5"/>
    <w:rsid w:val="00CC266E"/>
    <w:rsid w:val="00CC486A"/>
    <w:rsid w:val="00CD7413"/>
    <w:rsid w:val="00CE6C14"/>
    <w:rsid w:val="00D01D9A"/>
    <w:rsid w:val="00D028F8"/>
    <w:rsid w:val="00D11E22"/>
    <w:rsid w:val="00D15543"/>
    <w:rsid w:val="00D15A4A"/>
    <w:rsid w:val="00D56D06"/>
    <w:rsid w:val="00D7048E"/>
    <w:rsid w:val="00D975A0"/>
    <w:rsid w:val="00DB55B8"/>
    <w:rsid w:val="00DC01DC"/>
    <w:rsid w:val="00DD4927"/>
    <w:rsid w:val="00DE3A8C"/>
    <w:rsid w:val="00DF3A13"/>
    <w:rsid w:val="00E22E0C"/>
    <w:rsid w:val="00EA75FF"/>
    <w:rsid w:val="00ED4592"/>
    <w:rsid w:val="00ED73C2"/>
    <w:rsid w:val="00EE6E8C"/>
    <w:rsid w:val="00F0568A"/>
    <w:rsid w:val="00F14734"/>
    <w:rsid w:val="00F1697A"/>
    <w:rsid w:val="00F32814"/>
    <w:rsid w:val="00F41387"/>
    <w:rsid w:val="00F44199"/>
    <w:rsid w:val="00F8027C"/>
    <w:rsid w:val="00F80408"/>
    <w:rsid w:val="00FC560F"/>
    <w:rsid w:val="00FF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18526"/>
  <w15:chartTrackingRefBased/>
  <w15:docId w15:val="{6DF08D0B-B717-41FD-939D-B33270D4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C1D"/>
  </w:style>
  <w:style w:type="paragraph" w:styleId="Footer">
    <w:name w:val="footer"/>
    <w:basedOn w:val="Normal"/>
    <w:link w:val="FooterChar"/>
    <w:uiPriority w:val="99"/>
    <w:unhideWhenUsed/>
    <w:rsid w:val="003A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C1D"/>
  </w:style>
  <w:style w:type="table" w:styleId="TableGrid">
    <w:name w:val="Table Grid"/>
    <w:basedOn w:val="TableNormal"/>
    <w:uiPriority w:val="39"/>
    <w:rsid w:val="003A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C1D"/>
    <w:pPr>
      <w:ind w:left="720"/>
      <w:contextualSpacing/>
    </w:pPr>
  </w:style>
  <w:style w:type="character" w:styleId="Hyperlink">
    <w:name w:val="Hyperlink"/>
    <w:basedOn w:val="DefaultParagraphFont"/>
    <w:uiPriority w:val="99"/>
    <w:unhideWhenUsed/>
    <w:rsid w:val="006B01A2"/>
    <w:rPr>
      <w:color w:val="0563C1" w:themeColor="hyperlink"/>
      <w:u w:val="single"/>
    </w:rPr>
  </w:style>
  <w:style w:type="character" w:styleId="UnresolvedMention">
    <w:name w:val="Unresolved Mention"/>
    <w:basedOn w:val="DefaultParagraphFont"/>
    <w:uiPriority w:val="99"/>
    <w:semiHidden/>
    <w:unhideWhenUsed/>
    <w:rsid w:val="006B01A2"/>
    <w:rPr>
      <w:color w:val="605E5C"/>
      <w:shd w:val="clear" w:color="auto" w:fill="E1DFDD"/>
    </w:rPr>
  </w:style>
  <w:style w:type="character" w:styleId="CommentReference">
    <w:name w:val="annotation reference"/>
    <w:basedOn w:val="DefaultParagraphFont"/>
    <w:uiPriority w:val="99"/>
    <w:semiHidden/>
    <w:unhideWhenUsed/>
    <w:rsid w:val="006B01A2"/>
    <w:rPr>
      <w:sz w:val="16"/>
      <w:szCs w:val="16"/>
    </w:rPr>
  </w:style>
  <w:style w:type="paragraph" w:styleId="CommentText">
    <w:name w:val="annotation text"/>
    <w:basedOn w:val="Normal"/>
    <w:link w:val="CommentTextChar"/>
    <w:uiPriority w:val="99"/>
    <w:unhideWhenUsed/>
    <w:rsid w:val="006B01A2"/>
    <w:pPr>
      <w:spacing w:line="240" w:lineRule="auto"/>
    </w:pPr>
    <w:rPr>
      <w:sz w:val="20"/>
      <w:szCs w:val="20"/>
    </w:rPr>
  </w:style>
  <w:style w:type="character" w:customStyle="1" w:styleId="CommentTextChar">
    <w:name w:val="Comment Text Char"/>
    <w:basedOn w:val="DefaultParagraphFont"/>
    <w:link w:val="CommentText"/>
    <w:uiPriority w:val="99"/>
    <w:rsid w:val="006B01A2"/>
    <w:rPr>
      <w:sz w:val="20"/>
      <w:szCs w:val="20"/>
    </w:rPr>
  </w:style>
  <w:style w:type="paragraph" w:styleId="CommentSubject">
    <w:name w:val="annotation subject"/>
    <w:basedOn w:val="CommentText"/>
    <w:next w:val="CommentText"/>
    <w:link w:val="CommentSubjectChar"/>
    <w:uiPriority w:val="99"/>
    <w:semiHidden/>
    <w:unhideWhenUsed/>
    <w:rsid w:val="006B01A2"/>
    <w:rPr>
      <w:b/>
      <w:bCs/>
    </w:rPr>
  </w:style>
  <w:style w:type="character" w:customStyle="1" w:styleId="CommentSubjectChar">
    <w:name w:val="Comment Subject Char"/>
    <w:basedOn w:val="CommentTextChar"/>
    <w:link w:val="CommentSubject"/>
    <w:uiPriority w:val="99"/>
    <w:semiHidden/>
    <w:rsid w:val="006B01A2"/>
    <w:rPr>
      <w:b/>
      <w:bCs/>
      <w:sz w:val="20"/>
      <w:szCs w:val="20"/>
    </w:rPr>
  </w:style>
  <w:style w:type="paragraph" w:styleId="Revision">
    <w:name w:val="Revision"/>
    <w:hidden/>
    <w:uiPriority w:val="99"/>
    <w:semiHidden/>
    <w:rsid w:val="00526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fed.org/medialibrary/media/research/staff_reports/sr1042.pdf?sc_lang=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s.org/publ/cgfs60.pdf" TargetMode="External"/><Relationship Id="rId12" Type="http://schemas.openxmlformats.org/officeDocument/2006/relationships/hyperlink" Target="https://www.invescoindexing.com/en/govern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cosofracademyaxi.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sb.stanford.edu/faculty-research/working-papers/across-curve-credit-spread-indices" TargetMode="External"/><Relationship Id="rId4" Type="http://schemas.openxmlformats.org/officeDocument/2006/relationships/webSettings" Target="webSettings.xml"/><Relationship Id="rId9" Type="http://schemas.openxmlformats.org/officeDocument/2006/relationships/hyperlink" Target="https://sofracademy.com/wp-content/uploads/2023/03/Reserach-Note-Unintended-Impact-of-LIBOR-SOFR-Transition-on-Credit-Markets-and-Economic-Activit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f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Burnett</dc:creator>
  <cp:lastModifiedBy>Warren, Blaise</cp:lastModifiedBy>
  <cp:revision>2</cp:revision>
  <dcterms:created xsi:type="dcterms:W3CDTF">2023-05-31T14:37:00Z</dcterms:created>
  <dcterms:modified xsi:type="dcterms:W3CDTF">2023-05-31T14:37:00Z</dcterms:modified>
</cp:coreProperties>
</file>